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DB95AA" w14:textId="77777777" w:rsidR="003C0595" w:rsidRPr="003C0595" w:rsidRDefault="003C0595" w:rsidP="003C0595">
      <w:pPr>
        <w:spacing w:before="240" w:line="240" w:lineRule="auto"/>
        <w:jc w:val="right"/>
        <w:rPr>
          <w:rFonts w:ascii="Arial" w:hAnsi="Arial" w:cs="Arial"/>
          <w:b/>
          <w:color w:val="00673A"/>
          <w:sz w:val="72"/>
          <w:szCs w:val="72"/>
        </w:rPr>
      </w:pPr>
      <w:r w:rsidRPr="003C0595">
        <w:rPr>
          <w:rFonts w:ascii="Arial" w:hAnsi="Arial" w:cs="Arial"/>
          <w:b/>
          <w:color w:val="00673A"/>
          <w:sz w:val="72"/>
          <w:szCs w:val="72"/>
        </w:rPr>
        <w:t>Implementation of the Australian Consumer Law</w:t>
      </w:r>
    </w:p>
    <w:p w14:paraId="43DB95AB" w14:textId="76BCF9D7" w:rsidR="003C0595" w:rsidRDefault="003C0595" w:rsidP="003C0595">
      <w:pPr>
        <w:spacing w:before="240" w:line="240" w:lineRule="auto"/>
        <w:jc w:val="right"/>
        <w:rPr>
          <w:rFonts w:ascii="Arial" w:hAnsi="Arial" w:cs="Arial"/>
          <w:b/>
          <w:color w:val="00673A"/>
          <w:sz w:val="44"/>
          <w:szCs w:val="44"/>
        </w:rPr>
      </w:pPr>
      <w:r w:rsidRPr="003C0595">
        <w:rPr>
          <w:rFonts w:ascii="Arial" w:hAnsi="Arial" w:cs="Arial"/>
          <w:b/>
          <w:color w:val="00673A"/>
          <w:sz w:val="44"/>
          <w:szCs w:val="44"/>
        </w:rPr>
        <w:t>Report on progress II</w:t>
      </w:r>
      <w:r w:rsidR="00026ACF">
        <w:rPr>
          <w:rFonts w:ascii="Arial" w:hAnsi="Arial" w:cs="Arial"/>
          <w:b/>
          <w:color w:val="00673A"/>
          <w:sz w:val="44"/>
          <w:szCs w:val="44"/>
        </w:rPr>
        <w:t xml:space="preserve"> (2011</w:t>
      </w:r>
      <w:r w:rsidR="00433B24">
        <w:rPr>
          <w:rFonts w:ascii="Arial" w:hAnsi="Arial" w:cs="Arial"/>
          <w:b/>
          <w:color w:val="00673A"/>
          <w:sz w:val="44"/>
          <w:szCs w:val="44"/>
        </w:rPr>
        <w:noBreakHyphen/>
      </w:r>
      <w:r w:rsidR="00026ACF">
        <w:rPr>
          <w:rFonts w:ascii="Arial" w:hAnsi="Arial" w:cs="Arial"/>
          <w:b/>
          <w:color w:val="00673A"/>
          <w:sz w:val="44"/>
          <w:szCs w:val="44"/>
        </w:rPr>
        <w:t>12)</w:t>
      </w:r>
    </w:p>
    <w:p w14:paraId="43DB95AC" w14:textId="77777777" w:rsidR="003C0595" w:rsidRDefault="003C0595" w:rsidP="003C0595">
      <w:pPr>
        <w:spacing w:before="240" w:line="240" w:lineRule="auto"/>
        <w:jc w:val="right"/>
        <w:rPr>
          <w:rFonts w:ascii="Arial" w:hAnsi="Arial" w:cs="Arial"/>
          <w:b/>
          <w:color w:val="00673A"/>
          <w:sz w:val="44"/>
          <w:szCs w:val="44"/>
        </w:rPr>
      </w:pPr>
    </w:p>
    <w:p w14:paraId="43DB95AD" w14:textId="77777777" w:rsidR="003C0595" w:rsidRPr="003C0595" w:rsidRDefault="003C0595" w:rsidP="003C0595">
      <w:pPr>
        <w:spacing w:before="240" w:line="240" w:lineRule="auto"/>
        <w:jc w:val="right"/>
        <w:rPr>
          <w:rFonts w:ascii="Arial" w:hAnsi="Arial" w:cs="Arial"/>
          <w:b/>
          <w:color w:val="00673A"/>
          <w:sz w:val="44"/>
          <w:szCs w:val="44"/>
        </w:rPr>
      </w:pPr>
    </w:p>
    <w:p w14:paraId="084B4543" w14:textId="77777777" w:rsidR="007A7C16" w:rsidRDefault="003C0595" w:rsidP="003C0595">
      <w:pPr>
        <w:spacing w:before="240" w:line="240" w:lineRule="auto"/>
        <w:jc w:val="right"/>
        <w:rPr>
          <w:rFonts w:ascii="Arial" w:hAnsi="Arial" w:cs="Arial"/>
          <w:b/>
          <w:color w:val="00673A"/>
          <w:sz w:val="44"/>
          <w:szCs w:val="44"/>
        </w:rPr>
      </w:pPr>
      <w:r w:rsidRPr="003C0595">
        <w:rPr>
          <w:rFonts w:ascii="Arial" w:hAnsi="Arial" w:cs="Arial"/>
          <w:b/>
          <w:color w:val="00673A"/>
          <w:sz w:val="44"/>
          <w:szCs w:val="44"/>
        </w:rPr>
        <w:t>December 2012</w:t>
      </w:r>
    </w:p>
    <w:p w14:paraId="5E1F2929" w14:textId="68B2718A" w:rsidR="00F8272F" w:rsidRDefault="00F8272F" w:rsidP="003C0595">
      <w:pPr>
        <w:spacing w:before="240" w:line="240" w:lineRule="auto"/>
        <w:jc w:val="right"/>
        <w:rPr>
          <w:rFonts w:ascii="Arial" w:hAnsi="Arial" w:cs="Arial"/>
          <w:b/>
          <w:color w:val="00673A"/>
          <w:sz w:val="44"/>
          <w:szCs w:val="44"/>
        </w:rPr>
      </w:pPr>
    </w:p>
    <w:p w14:paraId="5CC76675" w14:textId="77777777" w:rsidR="00F8272F" w:rsidRDefault="00F8272F" w:rsidP="003C0595">
      <w:pPr>
        <w:spacing w:before="240" w:line="240" w:lineRule="auto"/>
        <w:jc w:val="right"/>
        <w:rPr>
          <w:rFonts w:ascii="Arial" w:hAnsi="Arial" w:cs="Arial"/>
          <w:b/>
          <w:color w:val="00673A"/>
          <w:sz w:val="44"/>
          <w:szCs w:val="44"/>
        </w:rPr>
        <w:sectPr w:rsidR="00F8272F" w:rsidSect="007A7C16">
          <w:headerReference w:type="even" r:id="rId12"/>
          <w:footerReference w:type="even" r:id="rId13"/>
          <w:footerReference w:type="first" r:id="rId14"/>
          <w:pgSz w:w="11906" w:h="16838" w:code="9"/>
          <w:pgMar w:top="1418" w:right="1418" w:bottom="1418" w:left="1418" w:header="709" w:footer="709" w:gutter="0"/>
          <w:cols w:space="708"/>
          <w:vAlign w:val="center"/>
          <w:docGrid w:linePitch="360"/>
        </w:sectPr>
      </w:pPr>
    </w:p>
    <w:p w14:paraId="34FEAD80" w14:textId="13746109" w:rsidR="009C733D" w:rsidRDefault="009C733D" w:rsidP="009C733D">
      <w:bookmarkStart w:id="0" w:name="_Toc342052615"/>
      <w:bookmarkStart w:id="1" w:name="_Toc342299500"/>
      <w:bookmarkStart w:id="2" w:name="_Toc222111838"/>
      <w:bookmarkStart w:id="3" w:name="_Toc294876840"/>
      <w:r w:rsidRPr="00661BF0">
        <w:lastRenderedPageBreak/>
        <w:t xml:space="preserve">© Commonwealth of </w:t>
      </w:r>
      <w:r w:rsidRPr="00D87BD3">
        <w:t xml:space="preserve">Australia </w:t>
      </w:r>
      <w:r w:rsidRPr="008567B4">
        <w:t>201</w:t>
      </w:r>
      <w:r w:rsidR="00D87BD3" w:rsidRPr="008567B4">
        <w:t>2</w:t>
      </w:r>
    </w:p>
    <w:p w14:paraId="2952DD72" w14:textId="2750BB75" w:rsidR="009C733D" w:rsidRPr="00040E57" w:rsidRDefault="009C733D" w:rsidP="009C733D">
      <w:r w:rsidRPr="00464A16">
        <w:t xml:space="preserve">ISBN </w:t>
      </w:r>
      <w:r w:rsidR="00040E57" w:rsidRPr="00040E57">
        <w:t>978-0-642-74867-6</w:t>
      </w:r>
    </w:p>
    <w:p w14:paraId="6B061F00" w14:textId="23C231D4" w:rsidR="009C733D" w:rsidRPr="00086F82" w:rsidRDefault="009C733D" w:rsidP="009C733D">
      <w:pPr>
        <w:tabs>
          <w:tab w:val="left" w:pos="1650"/>
        </w:tabs>
        <w:spacing w:before="100" w:beforeAutospacing="1" w:after="100" w:afterAutospacing="1"/>
        <w:rPr>
          <w:rStyle w:val="A5"/>
          <w:rFonts w:cstheme="minorBidi"/>
          <w:sz w:val="24"/>
          <w:szCs w:val="24"/>
        </w:rPr>
      </w:pPr>
      <w:r w:rsidRPr="002F1BC2">
        <w:t>This publication is available for your use under a</w:t>
      </w:r>
      <w:r w:rsidRPr="00476F09">
        <w:rPr>
          <w:rStyle w:val="A5"/>
          <w:rFonts w:cstheme="minorHAnsi"/>
          <w:sz w:val="24"/>
          <w:szCs w:val="24"/>
        </w:rPr>
        <w:t xml:space="preserve"> </w:t>
      </w:r>
      <w:hyperlink r:id="rId15" w:history="1">
        <w:r w:rsidRPr="006627B4">
          <w:rPr>
            <w:rStyle w:val="Hyperlink"/>
          </w:rPr>
          <w:t xml:space="preserve">Creative Commons </w:t>
        </w:r>
        <w:r>
          <w:rPr>
            <w:rStyle w:val="Hyperlink"/>
          </w:rPr>
          <w:t xml:space="preserve">BY </w:t>
        </w:r>
        <w:r w:rsidRPr="006627B4">
          <w:rPr>
            <w:rStyle w:val="Hyperlink"/>
          </w:rPr>
          <w:t>Attribution 3.0 Australia</w:t>
        </w:r>
      </w:hyperlink>
      <w:r w:rsidRPr="00476F09">
        <w:rPr>
          <w:rStyle w:val="A5"/>
          <w:rFonts w:cstheme="minorHAnsi"/>
          <w:sz w:val="24"/>
          <w:szCs w:val="24"/>
        </w:rPr>
        <w:t xml:space="preserve"> </w:t>
      </w:r>
      <w:r w:rsidRPr="002F1BC2">
        <w:t xml:space="preserve">licence, with the exception of the Commonwealth Coat of Arms, </w:t>
      </w:r>
      <w:r>
        <w:t xml:space="preserve">photographs, images, signatures </w:t>
      </w:r>
      <w:r w:rsidRPr="002F1BC2">
        <w:t>and where otherwise stated. The full licence terms are available from</w:t>
      </w:r>
      <w:r w:rsidRPr="00476F09">
        <w:rPr>
          <w:rStyle w:val="A5"/>
          <w:rFonts w:cstheme="minorHAnsi"/>
          <w:sz w:val="24"/>
          <w:szCs w:val="24"/>
        </w:rPr>
        <w:t xml:space="preserve"> </w:t>
      </w:r>
      <w:hyperlink r:id="rId16" w:history="1">
        <w:r w:rsidRPr="006627B4">
          <w:rPr>
            <w:rStyle w:val="Hyperlink"/>
          </w:rPr>
          <w:t>http://creativecommons.org/licenses/by/3.0/au/legalcode</w:t>
        </w:r>
      </w:hyperlink>
      <w:r w:rsidRPr="006627B4">
        <w:rPr>
          <w:rStyle w:val="Hyperlink"/>
        </w:rPr>
        <w:t>.</w:t>
      </w:r>
      <w:r w:rsidRPr="00D06A21">
        <w:rPr>
          <w:sz w:val="24"/>
          <w:szCs w:val="24"/>
        </w:rPr>
        <w:t xml:space="preserve"> </w:t>
      </w:r>
    </w:p>
    <w:p w14:paraId="64E032DE" w14:textId="77777777" w:rsidR="009C733D" w:rsidRDefault="009C733D" w:rsidP="009C733D">
      <w:pPr>
        <w:tabs>
          <w:tab w:val="left" w:pos="1650"/>
        </w:tabs>
        <w:spacing w:before="100" w:beforeAutospacing="1" w:after="100" w:afterAutospacing="1" w:line="240" w:lineRule="auto"/>
        <w:rPr>
          <w:rFonts w:cstheme="minorHAnsi"/>
          <w:sz w:val="24"/>
          <w:szCs w:val="24"/>
        </w:rPr>
      </w:pPr>
      <w:r w:rsidRPr="00E56DFB">
        <w:rPr>
          <w:rFonts w:cstheme="minorHAnsi"/>
          <w:noProof/>
          <w:sz w:val="24"/>
          <w:szCs w:val="24"/>
        </w:rPr>
        <w:drawing>
          <wp:inline distT="0" distB="0" distL="0" distR="0" wp14:anchorId="7949154A" wp14:editId="03C2B58B">
            <wp:extent cx="809625" cy="285750"/>
            <wp:effectExtent l="19050" t="0" r="9525" b="0"/>
            <wp:docPr id="3" name="Picture 1"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080C4FD6" w14:textId="7FCF59C0" w:rsidR="009C733D" w:rsidRPr="006627B4" w:rsidRDefault="009C733D" w:rsidP="009C733D">
      <w:pPr>
        <w:tabs>
          <w:tab w:val="left" w:pos="1650"/>
        </w:tabs>
        <w:spacing w:before="100" w:beforeAutospacing="1" w:after="100" w:afterAutospacing="1"/>
      </w:pPr>
      <w:r w:rsidRPr="006627B4">
        <w:t xml:space="preserve">Use of </w:t>
      </w:r>
      <w:r w:rsidR="00D87BD3">
        <w:t>Consumer Affairs Australia and New Zealand (CAANZ)</w:t>
      </w:r>
      <w:r w:rsidR="00D87BD3" w:rsidRPr="006627B4">
        <w:t xml:space="preserve"> </w:t>
      </w:r>
      <w:r w:rsidRPr="006627B4">
        <w:t>material under a</w:t>
      </w:r>
      <w:r w:rsidRPr="00476F09">
        <w:rPr>
          <w:rFonts w:cstheme="minorHAnsi"/>
          <w:sz w:val="24"/>
          <w:szCs w:val="24"/>
        </w:rPr>
        <w:t xml:space="preserve"> </w:t>
      </w:r>
      <w:hyperlink r:id="rId18" w:history="1">
        <w:r w:rsidRPr="002F1BC2">
          <w:rPr>
            <w:rStyle w:val="Hyperlink"/>
          </w:rPr>
          <w:t xml:space="preserve">Creative Commons </w:t>
        </w:r>
        <w:r>
          <w:rPr>
            <w:rStyle w:val="Hyperlink"/>
          </w:rPr>
          <w:t xml:space="preserve">BY </w:t>
        </w:r>
        <w:r w:rsidRPr="002F1BC2">
          <w:rPr>
            <w:rStyle w:val="Hyperlink"/>
          </w:rPr>
          <w:t>Attribution 3.0 Australia</w:t>
        </w:r>
      </w:hyperlink>
      <w:r w:rsidRPr="002F1BC2">
        <w:rPr>
          <w:rStyle w:val="Hyperlink"/>
        </w:rPr>
        <w:t xml:space="preserve"> </w:t>
      </w:r>
      <w:r w:rsidRPr="006627B4">
        <w:t xml:space="preserve">licence requires you to attribute the work (but not in any way that suggests that </w:t>
      </w:r>
      <w:r w:rsidR="00D87BD3">
        <w:t>CAANZ</w:t>
      </w:r>
      <w:r w:rsidRPr="006627B4">
        <w:t xml:space="preserve"> endorses you or your use of the work). </w:t>
      </w:r>
    </w:p>
    <w:p w14:paraId="3B174F04" w14:textId="77777777" w:rsidR="009C733D" w:rsidRPr="006627B4" w:rsidRDefault="009C733D" w:rsidP="009C733D">
      <w:pPr>
        <w:spacing w:after="40"/>
        <w:rPr>
          <w:b/>
        </w:rPr>
      </w:pPr>
      <w:r w:rsidRPr="006627B4">
        <w:rPr>
          <w:b/>
        </w:rPr>
        <w:t>Use of the Coat of Arms</w:t>
      </w:r>
    </w:p>
    <w:p w14:paraId="083F1B6E" w14:textId="77777777" w:rsidR="009C733D" w:rsidRPr="006627B4" w:rsidRDefault="009C733D" w:rsidP="009C733D">
      <w:r w:rsidRPr="006627B4">
        <w:t xml:space="preserve">The terms under which the Coat of Arms can be used are set out on the It’s an Honour website (see </w:t>
      </w:r>
      <w:hyperlink r:id="rId19" w:history="1">
        <w:r w:rsidRPr="006627B4">
          <w:t>www.itsanhonour.gov.au</w:t>
        </w:r>
      </w:hyperlink>
      <w:r w:rsidRPr="006627B4">
        <w:t>)</w:t>
      </w:r>
    </w:p>
    <w:p w14:paraId="780C0FAB" w14:textId="77777777" w:rsidR="009C733D" w:rsidRPr="006627B4" w:rsidRDefault="009C733D" w:rsidP="009C733D">
      <w:pPr>
        <w:spacing w:after="40"/>
        <w:rPr>
          <w:b/>
        </w:rPr>
      </w:pPr>
      <w:r w:rsidRPr="006627B4">
        <w:rPr>
          <w:b/>
        </w:rPr>
        <w:t>Other Uses</w:t>
      </w:r>
    </w:p>
    <w:p w14:paraId="01C2029E" w14:textId="77777777" w:rsidR="009C733D" w:rsidRPr="006627B4" w:rsidRDefault="009C733D" w:rsidP="009C733D">
      <w:r w:rsidRPr="006627B4">
        <w:t>Inquiries regarding this licence and any other use of this document are welcome at:</w:t>
      </w:r>
    </w:p>
    <w:p w14:paraId="0AEB25AB" w14:textId="77777777" w:rsidR="009C733D" w:rsidRPr="006627B4" w:rsidRDefault="009C733D" w:rsidP="009C733D">
      <w:pPr>
        <w:spacing w:after="0"/>
        <w:ind w:left="720"/>
      </w:pPr>
      <w:r w:rsidRPr="006627B4">
        <w:t>Manager</w:t>
      </w:r>
    </w:p>
    <w:p w14:paraId="7A10C26C" w14:textId="77777777" w:rsidR="009C733D" w:rsidRPr="006627B4" w:rsidRDefault="009C733D" w:rsidP="009C733D">
      <w:pPr>
        <w:spacing w:after="0"/>
        <w:ind w:left="720"/>
      </w:pPr>
      <w:r w:rsidRPr="006627B4">
        <w:t xml:space="preserve">Communications </w:t>
      </w:r>
    </w:p>
    <w:p w14:paraId="6FFFADFF" w14:textId="77777777" w:rsidR="009C733D" w:rsidRPr="006627B4" w:rsidRDefault="009C733D" w:rsidP="009C733D">
      <w:pPr>
        <w:spacing w:after="0"/>
        <w:ind w:left="720"/>
      </w:pPr>
      <w:r w:rsidRPr="006627B4">
        <w:t>The Treasury</w:t>
      </w:r>
    </w:p>
    <w:p w14:paraId="3EC2FB75" w14:textId="77777777" w:rsidR="009C733D" w:rsidRPr="006627B4" w:rsidRDefault="009C733D" w:rsidP="009C733D">
      <w:pPr>
        <w:spacing w:after="0"/>
        <w:ind w:left="720"/>
      </w:pPr>
      <w:r w:rsidRPr="006627B4">
        <w:t xml:space="preserve">Langton Crescent </w:t>
      </w:r>
      <w:proofErr w:type="spellStart"/>
      <w:r w:rsidRPr="006627B4">
        <w:t>Parkes</w:t>
      </w:r>
      <w:proofErr w:type="spellEnd"/>
      <w:r w:rsidRPr="006627B4">
        <w:t xml:space="preserve"> ACT 2600</w:t>
      </w:r>
    </w:p>
    <w:p w14:paraId="5935A007" w14:textId="77777777" w:rsidR="009C733D" w:rsidRPr="002F1BC2" w:rsidRDefault="009C733D" w:rsidP="009C733D">
      <w:pPr>
        <w:spacing w:after="0"/>
        <w:ind w:left="720"/>
        <w:rPr>
          <w:rStyle w:val="Hyperlink"/>
        </w:rPr>
      </w:pPr>
      <w:r w:rsidRPr="006627B4">
        <w:t xml:space="preserve">Email: </w:t>
      </w:r>
      <w:hyperlink r:id="rId20" w:history="1">
        <w:r w:rsidRPr="00573329">
          <w:rPr>
            <w:rStyle w:val="Hyperlink"/>
          </w:rPr>
          <w:t>medialiaison@treasury.gov.au</w:t>
        </w:r>
      </w:hyperlink>
      <w:r w:rsidRPr="002F1BC2">
        <w:rPr>
          <w:rStyle w:val="Hyperlink"/>
        </w:rPr>
        <w:t xml:space="preserve"> </w:t>
      </w:r>
    </w:p>
    <w:p w14:paraId="49F4B696" w14:textId="77777777" w:rsidR="009C733D" w:rsidRDefault="009C733D">
      <w:pPr>
        <w:pStyle w:val="ContentsHeading"/>
        <w:sectPr w:rsidR="009C733D" w:rsidSect="00F8272F">
          <w:footerReference w:type="default" r:id="rId21"/>
          <w:pgSz w:w="11906" w:h="16838" w:code="9"/>
          <w:pgMar w:top="1418" w:right="1418" w:bottom="1418" w:left="1418" w:header="709" w:footer="709" w:gutter="0"/>
          <w:pgNumType w:fmt="lowerRoman"/>
          <w:cols w:space="708"/>
          <w:docGrid w:linePitch="360"/>
        </w:sectPr>
      </w:pPr>
    </w:p>
    <w:p w14:paraId="23823E30" w14:textId="5AFD7EC2" w:rsidR="005F2657" w:rsidRDefault="005F2657">
      <w:pPr>
        <w:pStyle w:val="ContentsHeading"/>
      </w:pPr>
      <w:r>
        <w:lastRenderedPageBreak/>
        <w:t>Contents</w:t>
      </w:r>
    </w:p>
    <w:p w14:paraId="1E830DA2" w14:textId="6BDD9AA3" w:rsidR="004B2A81" w:rsidRDefault="004B2A81">
      <w:pPr>
        <w:pStyle w:val="TOC1"/>
        <w:rPr>
          <w:rFonts w:asciiTheme="minorHAnsi" w:eastAsiaTheme="minorEastAsia" w:hAnsiTheme="minorHAnsi" w:cstheme="minorBidi"/>
          <w:b w:val="0"/>
          <w:smallCaps w:val="0"/>
          <w:noProof/>
          <w:color w:val="auto"/>
        </w:rPr>
      </w:pPr>
      <w:r>
        <w:rPr>
          <w:noProof/>
        </w:rPr>
        <w:t>Letter to the Chair of CAF, The Hon Anthony Roberts MP</w:t>
      </w:r>
      <w:r>
        <w:rPr>
          <w:noProof/>
        </w:rPr>
        <w:tab/>
      </w:r>
      <w:r w:rsidR="00B90BA1">
        <w:rPr>
          <w:noProof/>
        </w:rPr>
        <w:t>iv</w:t>
      </w:r>
    </w:p>
    <w:p w14:paraId="24AEB8A6" w14:textId="7A2A7F0D" w:rsidR="004B2A81" w:rsidRDefault="004B2A81">
      <w:pPr>
        <w:pStyle w:val="TOC1"/>
        <w:rPr>
          <w:rFonts w:asciiTheme="minorHAnsi" w:eastAsiaTheme="minorEastAsia" w:hAnsiTheme="minorHAnsi" w:cstheme="minorBidi"/>
          <w:b w:val="0"/>
          <w:smallCaps w:val="0"/>
          <w:noProof/>
          <w:color w:val="auto"/>
        </w:rPr>
      </w:pPr>
      <w:r>
        <w:rPr>
          <w:noProof/>
        </w:rPr>
        <w:t>Glossary of terms</w:t>
      </w:r>
      <w:r>
        <w:rPr>
          <w:noProof/>
        </w:rPr>
        <w:tab/>
      </w:r>
      <w:r w:rsidR="00B90BA1">
        <w:rPr>
          <w:noProof/>
        </w:rPr>
        <w:t>vi</w:t>
      </w:r>
    </w:p>
    <w:p w14:paraId="5DEE8601" w14:textId="3B2ACD75" w:rsidR="004B2A81" w:rsidRDefault="004B2A81">
      <w:pPr>
        <w:pStyle w:val="TOC1"/>
        <w:rPr>
          <w:rFonts w:asciiTheme="minorHAnsi" w:eastAsiaTheme="minorEastAsia" w:hAnsiTheme="minorHAnsi" w:cstheme="minorBidi"/>
          <w:b w:val="0"/>
          <w:smallCaps w:val="0"/>
          <w:noProof/>
          <w:color w:val="auto"/>
        </w:rPr>
      </w:pPr>
      <w:r>
        <w:rPr>
          <w:noProof/>
        </w:rPr>
        <w:t>Executive summary</w:t>
      </w:r>
      <w:r>
        <w:rPr>
          <w:noProof/>
        </w:rPr>
        <w:tab/>
      </w:r>
      <w:r w:rsidR="00B90BA1">
        <w:rPr>
          <w:noProof/>
        </w:rPr>
        <w:t>vii</w:t>
      </w:r>
    </w:p>
    <w:p w14:paraId="34F4C4D6" w14:textId="0499AFD5" w:rsidR="004B2A81" w:rsidRDefault="004B2A81">
      <w:pPr>
        <w:pStyle w:val="TOC1"/>
        <w:rPr>
          <w:rFonts w:asciiTheme="minorHAnsi" w:eastAsiaTheme="minorEastAsia" w:hAnsiTheme="minorHAnsi" w:cstheme="minorBidi"/>
          <w:b w:val="0"/>
          <w:smallCaps w:val="0"/>
          <w:noProof/>
          <w:color w:val="auto"/>
        </w:rPr>
      </w:pPr>
      <w:r>
        <w:rPr>
          <w:noProof/>
        </w:rPr>
        <w:t>Introduction</w:t>
      </w:r>
      <w:r>
        <w:rPr>
          <w:noProof/>
        </w:rPr>
        <w:tab/>
      </w:r>
      <w:r w:rsidR="00B90BA1">
        <w:rPr>
          <w:noProof/>
        </w:rPr>
        <w:t>1</w:t>
      </w:r>
    </w:p>
    <w:p w14:paraId="2D3027FA" w14:textId="342EAC13" w:rsidR="004B2A81" w:rsidRDefault="004B2A81">
      <w:pPr>
        <w:pStyle w:val="TOC2"/>
        <w:rPr>
          <w:rFonts w:asciiTheme="minorHAnsi" w:eastAsiaTheme="minorEastAsia" w:hAnsiTheme="minorHAnsi" w:cstheme="minorBidi"/>
          <w:noProof/>
          <w:color w:val="auto"/>
          <w:sz w:val="22"/>
          <w:szCs w:val="22"/>
        </w:rPr>
      </w:pPr>
      <w:r>
        <w:rPr>
          <w:noProof/>
        </w:rPr>
        <w:t>Purpose of this report</w:t>
      </w:r>
      <w:r>
        <w:rPr>
          <w:noProof/>
        </w:rPr>
        <w:tab/>
      </w:r>
      <w:r w:rsidR="00B90BA1">
        <w:rPr>
          <w:noProof/>
        </w:rPr>
        <w:t>1</w:t>
      </w:r>
    </w:p>
    <w:p w14:paraId="2B7A5A51" w14:textId="7926D1B8" w:rsidR="004B2A81" w:rsidRDefault="004B2A81">
      <w:pPr>
        <w:pStyle w:val="TOC2"/>
        <w:rPr>
          <w:rFonts w:asciiTheme="minorHAnsi" w:eastAsiaTheme="minorEastAsia" w:hAnsiTheme="minorHAnsi" w:cstheme="minorBidi"/>
          <w:noProof/>
          <w:color w:val="auto"/>
          <w:sz w:val="22"/>
          <w:szCs w:val="22"/>
        </w:rPr>
      </w:pPr>
      <w:r>
        <w:rPr>
          <w:noProof/>
        </w:rPr>
        <w:t>A cooperative decision</w:t>
      </w:r>
      <w:r>
        <w:rPr>
          <w:noProof/>
        </w:rPr>
        <w:noBreakHyphen/>
        <w:t>making approach</w:t>
      </w:r>
      <w:r>
        <w:rPr>
          <w:noProof/>
        </w:rPr>
        <w:tab/>
      </w:r>
      <w:r w:rsidR="00B90BA1">
        <w:rPr>
          <w:noProof/>
        </w:rPr>
        <w:t>2</w:t>
      </w:r>
    </w:p>
    <w:p w14:paraId="0FE7AD9F" w14:textId="30AB8F46" w:rsidR="004B2A81" w:rsidRDefault="004B2A81">
      <w:pPr>
        <w:pStyle w:val="TOC3"/>
        <w:rPr>
          <w:rFonts w:asciiTheme="minorHAnsi" w:eastAsiaTheme="minorEastAsia" w:hAnsiTheme="minorHAnsi" w:cstheme="minorBidi"/>
          <w:noProof/>
          <w:color w:val="auto"/>
          <w:sz w:val="22"/>
          <w:szCs w:val="22"/>
        </w:rPr>
      </w:pPr>
      <w:r>
        <w:rPr>
          <w:noProof/>
        </w:rPr>
        <w:t>Figure 1: CAF governance arrangements</w:t>
      </w:r>
      <w:r>
        <w:rPr>
          <w:noProof/>
        </w:rPr>
        <w:tab/>
      </w:r>
      <w:r w:rsidR="00B90BA1">
        <w:rPr>
          <w:noProof/>
        </w:rPr>
        <w:t>3</w:t>
      </w:r>
    </w:p>
    <w:p w14:paraId="45FC5838" w14:textId="4D78F9DC" w:rsidR="004B2A81" w:rsidRDefault="004B2A81">
      <w:pPr>
        <w:pStyle w:val="TOC1"/>
        <w:rPr>
          <w:rFonts w:asciiTheme="minorHAnsi" w:eastAsiaTheme="minorEastAsia" w:hAnsiTheme="minorHAnsi" w:cstheme="minorBidi"/>
          <w:b w:val="0"/>
          <w:smallCaps w:val="0"/>
          <w:noProof/>
          <w:color w:val="auto"/>
        </w:rPr>
      </w:pPr>
      <w:r>
        <w:rPr>
          <w:noProof/>
        </w:rPr>
        <w:t>Consumer policy and research</w:t>
      </w:r>
      <w:r>
        <w:rPr>
          <w:noProof/>
        </w:rPr>
        <w:tab/>
      </w:r>
      <w:r w:rsidR="00B90BA1">
        <w:rPr>
          <w:noProof/>
        </w:rPr>
        <w:t>4</w:t>
      </w:r>
    </w:p>
    <w:p w14:paraId="7CD143AB" w14:textId="169D386A" w:rsidR="004B2A81" w:rsidRDefault="004B2A81">
      <w:pPr>
        <w:pStyle w:val="TOC2"/>
        <w:rPr>
          <w:rFonts w:asciiTheme="minorHAnsi" w:eastAsiaTheme="minorEastAsia" w:hAnsiTheme="minorHAnsi" w:cstheme="minorBidi"/>
          <w:noProof/>
          <w:color w:val="auto"/>
          <w:sz w:val="22"/>
          <w:szCs w:val="22"/>
        </w:rPr>
      </w:pPr>
      <w:r>
        <w:rPr>
          <w:noProof/>
        </w:rPr>
        <w:t>Overview</w:t>
      </w:r>
      <w:r>
        <w:rPr>
          <w:noProof/>
        </w:rPr>
        <w:tab/>
      </w:r>
      <w:r w:rsidR="00B90BA1">
        <w:rPr>
          <w:noProof/>
        </w:rPr>
        <w:t>4</w:t>
      </w:r>
    </w:p>
    <w:p w14:paraId="031DE379" w14:textId="392C4AC6" w:rsidR="004B2A81" w:rsidRDefault="004B2A81">
      <w:pPr>
        <w:pStyle w:val="TOC3"/>
        <w:rPr>
          <w:rFonts w:asciiTheme="minorHAnsi" w:eastAsiaTheme="minorEastAsia" w:hAnsiTheme="minorHAnsi" w:cstheme="minorBidi"/>
          <w:noProof/>
          <w:color w:val="auto"/>
          <w:sz w:val="22"/>
          <w:szCs w:val="22"/>
        </w:rPr>
      </w:pPr>
      <w:r>
        <w:rPr>
          <w:noProof/>
        </w:rPr>
        <w:t>Implementing and transitioning to the ACL</w:t>
      </w:r>
      <w:r>
        <w:rPr>
          <w:noProof/>
        </w:rPr>
        <w:tab/>
      </w:r>
      <w:r w:rsidR="00B90BA1">
        <w:rPr>
          <w:noProof/>
        </w:rPr>
        <w:t>4</w:t>
      </w:r>
    </w:p>
    <w:p w14:paraId="2CAC3F19" w14:textId="5455E1F0" w:rsidR="004B2A81" w:rsidRDefault="004B2A81">
      <w:pPr>
        <w:pStyle w:val="TOC3"/>
        <w:rPr>
          <w:rFonts w:asciiTheme="minorHAnsi" w:eastAsiaTheme="minorEastAsia" w:hAnsiTheme="minorHAnsi" w:cstheme="minorBidi"/>
          <w:noProof/>
          <w:color w:val="auto"/>
          <w:sz w:val="22"/>
          <w:szCs w:val="22"/>
        </w:rPr>
      </w:pPr>
      <w:r>
        <w:rPr>
          <w:noProof/>
        </w:rPr>
        <w:t>Strengthening and improving Australia’s consumer protection framework</w:t>
      </w:r>
      <w:r>
        <w:rPr>
          <w:noProof/>
        </w:rPr>
        <w:tab/>
      </w:r>
      <w:r w:rsidR="00B90BA1">
        <w:rPr>
          <w:noProof/>
        </w:rPr>
        <w:t>4</w:t>
      </w:r>
    </w:p>
    <w:p w14:paraId="66FD6704" w14:textId="51D5F1DD" w:rsidR="004B2A81" w:rsidRDefault="004B2A81">
      <w:pPr>
        <w:pStyle w:val="TOC3"/>
        <w:rPr>
          <w:rFonts w:asciiTheme="minorHAnsi" w:eastAsiaTheme="minorEastAsia" w:hAnsiTheme="minorHAnsi" w:cstheme="minorBidi"/>
          <w:noProof/>
          <w:color w:val="auto"/>
          <w:sz w:val="22"/>
          <w:szCs w:val="22"/>
        </w:rPr>
      </w:pPr>
      <w:r>
        <w:rPr>
          <w:noProof/>
        </w:rPr>
        <w:t>Responding to industry concerns</w:t>
      </w:r>
      <w:r>
        <w:rPr>
          <w:noProof/>
        </w:rPr>
        <w:tab/>
      </w:r>
      <w:r w:rsidR="00B90BA1">
        <w:rPr>
          <w:noProof/>
        </w:rPr>
        <w:t>7</w:t>
      </w:r>
    </w:p>
    <w:p w14:paraId="2265F97E" w14:textId="441D2797" w:rsidR="004B2A81" w:rsidRDefault="004B2A81">
      <w:pPr>
        <w:pStyle w:val="TOC3"/>
        <w:rPr>
          <w:rFonts w:asciiTheme="minorHAnsi" w:eastAsiaTheme="minorEastAsia" w:hAnsiTheme="minorHAnsi" w:cstheme="minorBidi"/>
          <w:noProof/>
          <w:color w:val="auto"/>
          <w:sz w:val="22"/>
          <w:szCs w:val="22"/>
        </w:rPr>
      </w:pPr>
      <w:r>
        <w:rPr>
          <w:noProof/>
        </w:rPr>
        <w:t>Supporting broader strategic goals including COAG’s National Partnership to deliver a Seamless National Economy</w:t>
      </w:r>
      <w:r>
        <w:rPr>
          <w:noProof/>
        </w:rPr>
        <w:tab/>
      </w:r>
      <w:r w:rsidR="00B90BA1">
        <w:rPr>
          <w:noProof/>
        </w:rPr>
        <w:t>7</w:t>
      </w:r>
    </w:p>
    <w:p w14:paraId="3D2125F9" w14:textId="5AF9F0C4" w:rsidR="004B2A81" w:rsidRDefault="004B2A81">
      <w:pPr>
        <w:pStyle w:val="TOC3"/>
        <w:rPr>
          <w:rFonts w:asciiTheme="minorHAnsi" w:eastAsiaTheme="minorEastAsia" w:hAnsiTheme="minorHAnsi" w:cstheme="minorBidi"/>
          <w:noProof/>
          <w:color w:val="auto"/>
          <w:sz w:val="22"/>
          <w:szCs w:val="22"/>
        </w:rPr>
      </w:pPr>
      <w:r>
        <w:rPr>
          <w:noProof/>
        </w:rPr>
        <w:t>Consolidating collaborative partnerships formed to deliver key outcomes</w:t>
      </w:r>
      <w:r>
        <w:rPr>
          <w:noProof/>
        </w:rPr>
        <w:tab/>
      </w:r>
      <w:r w:rsidR="00B90BA1">
        <w:rPr>
          <w:noProof/>
        </w:rPr>
        <w:t>8</w:t>
      </w:r>
    </w:p>
    <w:p w14:paraId="3BBA9B12" w14:textId="706A2EB3" w:rsidR="004B2A81" w:rsidRDefault="004B2A81">
      <w:pPr>
        <w:pStyle w:val="TOC1"/>
        <w:rPr>
          <w:rFonts w:asciiTheme="minorHAnsi" w:eastAsiaTheme="minorEastAsia" w:hAnsiTheme="minorHAnsi" w:cstheme="minorBidi"/>
          <w:b w:val="0"/>
          <w:smallCaps w:val="0"/>
          <w:noProof/>
          <w:color w:val="auto"/>
        </w:rPr>
      </w:pPr>
      <w:r>
        <w:rPr>
          <w:noProof/>
        </w:rPr>
        <w:t>Education and information for consumers and business</w:t>
      </w:r>
      <w:r>
        <w:rPr>
          <w:noProof/>
        </w:rPr>
        <w:tab/>
      </w:r>
      <w:r w:rsidR="00B90BA1">
        <w:rPr>
          <w:noProof/>
        </w:rPr>
        <w:t>9</w:t>
      </w:r>
    </w:p>
    <w:p w14:paraId="00DBE4AC" w14:textId="19F0868E" w:rsidR="004B2A81" w:rsidRDefault="004B2A81">
      <w:pPr>
        <w:pStyle w:val="TOC2"/>
        <w:rPr>
          <w:rFonts w:asciiTheme="minorHAnsi" w:eastAsiaTheme="minorEastAsia" w:hAnsiTheme="minorHAnsi" w:cstheme="minorBidi"/>
          <w:noProof/>
          <w:color w:val="auto"/>
          <w:sz w:val="22"/>
          <w:szCs w:val="22"/>
        </w:rPr>
      </w:pPr>
      <w:r>
        <w:rPr>
          <w:noProof/>
        </w:rPr>
        <w:t>Overview</w:t>
      </w:r>
      <w:r>
        <w:rPr>
          <w:noProof/>
        </w:rPr>
        <w:tab/>
      </w:r>
      <w:r w:rsidR="00B90BA1">
        <w:rPr>
          <w:noProof/>
        </w:rPr>
        <w:t>9</w:t>
      </w:r>
    </w:p>
    <w:p w14:paraId="0EE059E1" w14:textId="249AD445" w:rsidR="004B2A81" w:rsidRDefault="004B2A81">
      <w:pPr>
        <w:pStyle w:val="TOC3"/>
        <w:rPr>
          <w:rFonts w:asciiTheme="minorHAnsi" w:eastAsiaTheme="minorEastAsia" w:hAnsiTheme="minorHAnsi" w:cstheme="minorBidi"/>
          <w:noProof/>
          <w:color w:val="auto"/>
          <w:sz w:val="22"/>
          <w:szCs w:val="22"/>
        </w:rPr>
      </w:pPr>
      <w:r>
        <w:rPr>
          <w:noProof/>
        </w:rPr>
        <w:t>Improving consumer understanding of the ACL</w:t>
      </w:r>
      <w:r>
        <w:rPr>
          <w:noProof/>
        </w:rPr>
        <w:tab/>
      </w:r>
      <w:r w:rsidR="00B90BA1">
        <w:rPr>
          <w:noProof/>
        </w:rPr>
        <w:t>9</w:t>
      </w:r>
    </w:p>
    <w:p w14:paraId="4FE4B37A" w14:textId="78D44A9B" w:rsidR="004B2A81" w:rsidRDefault="004B2A81">
      <w:pPr>
        <w:pStyle w:val="TOC1"/>
        <w:rPr>
          <w:rFonts w:asciiTheme="minorHAnsi" w:eastAsiaTheme="minorEastAsia" w:hAnsiTheme="minorHAnsi" w:cstheme="minorBidi"/>
          <w:b w:val="0"/>
          <w:smallCaps w:val="0"/>
          <w:noProof/>
          <w:color w:val="auto"/>
        </w:rPr>
      </w:pPr>
      <w:r>
        <w:rPr>
          <w:noProof/>
        </w:rPr>
        <w:t>Compliance and dispute resolution</w:t>
      </w:r>
      <w:r>
        <w:rPr>
          <w:noProof/>
        </w:rPr>
        <w:tab/>
      </w:r>
      <w:r w:rsidR="00B90BA1">
        <w:rPr>
          <w:noProof/>
        </w:rPr>
        <w:t>13</w:t>
      </w:r>
    </w:p>
    <w:p w14:paraId="13C63124" w14:textId="60F0714B" w:rsidR="004B2A81" w:rsidRDefault="004B2A81">
      <w:pPr>
        <w:pStyle w:val="TOC2"/>
        <w:rPr>
          <w:rFonts w:asciiTheme="minorHAnsi" w:eastAsiaTheme="minorEastAsia" w:hAnsiTheme="minorHAnsi" w:cstheme="minorBidi"/>
          <w:noProof/>
          <w:color w:val="auto"/>
          <w:sz w:val="22"/>
          <w:szCs w:val="22"/>
        </w:rPr>
      </w:pPr>
      <w:r>
        <w:rPr>
          <w:noProof/>
        </w:rPr>
        <w:t>Overview</w:t>
      </w:r>
      <w:r>
        <w:rPr>
          <w:noProof/>
        </w:rPr>
        <w:tab/>
      </w:r>
      <w:r w:rsidR="00B90BA1">
        <w:rPr>
          <w:noProof/>
        </w:rPr>
        <w:t>13</w:t>
      </w:r>
    </w:p>
    <w:p w14:paraId="3557FDD5" w14:textId="605722A4" w:rsidR="004B2A81" w:rsidRDefault="004B2A81">
      <w:pPr>
        <w:pStyle w:val="TOC3"/>
        <w:rPr>
          <w:rFonts w:asciiTheme="minorHAnsi" w:eastAsiaTheme="minorEastAsia" w:hAnsiTheme="minorHAnsi" w:cstheme="minorBidi"/>
          <w:noProof/>
          <w:color w:val="auto"/>
          <w:sz w:val="22"/>
          <w:szCs w:val="22"/>
        </w:rPr>
      </w:pPr>
      <w:r>
        <w:rPr>
          <w:noProof/>
        </w:rPr>
        <w:t>Achieving compliance with the ACL</w:t>
      </w:r>
      <w:r>
        <w:rPr>
          <w:noProof/>
        </w:rPr>
        <w:tab/>
      </w:r>
      <w:r w:rsidR="00B90BA1">
        <w:rPr>
          <w:noProof/>
        </w:rPr>
        <w:t>13</w:t>
      </w:r>
    </w:p>
    <w:p w14:paraId="0BB1A05C" w14:textId="2D135ED2" w:rsidR="004B2A81" w:rsidRDefault="004B2A81">
      <w:pPr>
        <w:pStyle w:val="TOC3"/>
        <w:rPr>
          <w:rFonts w:asciiTheme="minorHAnsi" w:eastAsiaTheme="minorEastAsia" w:hAnsiTheme="minorHAnsi" w:cstheme="minorBidi"/>
          <w:noProof/>
          <w:color w:val="auto"/>
          <w:sz w:val="22"/>
          <w:szCs w:val="22"/>
        </w:rPr>
      </w:pPr>
      <w:r>
        <w:rPr>
          <w:noProof/>
        </w:rPr>
        <w:t>Providing timely support for consumers</w:t>
      </w:r>
      <w:r>
        <w:rPr>
          <w:noProof/>
        </w:rPr>
        <w:tab/>
      </w:r>
      <w:r w:rsidR="00B90BA1">
        <w:rPr>
          <w:noProof/>
        </w:rPr>
        <w:t>14</w:t>
      </w:r>
    </w:p>
    <w:p w14:paraId="3861A3F1" w14:textId="36172308" w:rsidR="004B2A81" w:rsidRDefault="004B2A81">
      <w:pPr>
        <w:pStyle w:val="TOC3"/>
        <w:rPr>
          <w:rFonts w:asciiTheme="minorHAnsi" w:eastAsiaTheme="minorEastAsia" w:hAnsiTheme="minorHAnsi" w:cstheme="minorBidi"/>
          <w:noProof/>
          <w:color w:val="auto"/>
          <w:sz w:val="22"/>
          <w:szCs w:val="22"/>
        </w:rPr>
      </w:pPr>
      <w:r>
        <w:rPr>
          <w:noProof/>
        </w:rPr>
        <w:t>Responding to unfair trader practices</w:t>
      </w:r>
      <w:r>
        <w:rPr>
          <w:noProof/>
        </w:rPr>
        <w:tab/>
      </w:r>
      <w:r w:rsidR="00B90BA1">
        <w:rPr>
          <w:noProof/>
        </w:rPr>
        <w:t>14</w:t>
      </w:r>
    </w:p>
    <w:p w14:paraId="14DB2913" w14:textId="39CB3E35" w:rsidR="004B2A81" w:rsidRDefault="004B2A81">
      <w:pPr>
        <w:pStyle w:val="TOC3"/>
        <w:rPr>
          <w:rFonts w:asciiTheme="minorHAnsi" w:eastAsiaTheme="minorEastAsia" w:hAnsiTheme="minorHAnsi" w:cstheme="minorBidi"/>
          <w:noProof/>
          <w:color w:val="auto"/>
          <w:sz w:val="22"/>
          <w:szCs w:val="22"/>
        </w:rPr>
      </w:pPr>
      <w:r>
        <w:rPr>
          <w:noProof/>
        </w:rPr>
        <w:t>Combatting unlawful selling practices</w:t>
      </w:r>
      <w:r>
        <w:rPr>
          <w:noProof/>
        </w:rPr>
        <w:tab/>
      </w:r>
      <w:r w:rsidR="00B90BA1">
        <w:rPr>
          <w:noProof/>
        </w:rPr>
        <w:t>18</w:t>
      </w:r>
    </w:p>
    <w:p w14:paraId="36C36D2F" w14:textId="59998ABC" w:rsidR="004B2A81" w:rsidRDefault="004B2A81">
      <w:pPr>
        <w:pStyle w:val="TOC3"/>
        <w:rPr>
          <w:rFonts w:asciiTheme="minorHAnsi" w:eastAsiaTheme="minorEastAsia" w:hAnsiTheme="minorHAnsi" w:cstheme="minorBidi"/>
          <w:noProof/>
          <w:color w:val="auto"/>
          <w:sz w:val="22"/>
          <w:szCs w:val="22"/>
        </w:rPr>
      </w:pPr>
      <w:r>
        <w:rPr>
          <w:noProof/>
        </w:rPr>
        <w:t>Identifying and responding to emerging consumer issues</w:t>
      </w:r>
      <w:r>
        <w:rPr>
          <w:noProof/>
        </w:rPr>
        <w:tab/>
      </w:r>
      <w:r w:rsidR="00B90BA1">
        <w:rPr>
          <w:noProof/>
        </w:rPr>
        <w:t>19</w:t>
      </w:r>
    </w:p>
    <w:p w14:paraId="02406F28" w14:textId="294195CA" w:rsidR="004B2A81" w:rsidRDefault="004B2A81">
      <w:pPr>
        <w:pStyle w:val="TOC3"/>
        <w:rPr>
          <w:rFonts w:asciiTheme="minorHAnsi" w:eastAsiaTheme="minorEastAsia" w:hAnsiTheme="minorHAnsi" w:cstheme="minorBidi"/>
          <w:noProof/>
          <w:color w:val="auto"/>
          <w:sz w:val="22"/>
          <w:szCs w:val="22"/>
        </w:rPr>
      </w:pPr>
      <w:r>
        <w:rPr>
          <w:noProof/>
        </w:rPr>
        <w:t>Supporting business compliance with the ACL</w:t>
      </w:r>
      <w:r>
        <w:rPr>
          <w:noProof/>
        </w:rPr>
        <w:tab/>
      </w:r>
      <w:r w:rsidR="00B90BA1">
        <w:rPr>
          <w:noProof/>
        </w:rPr>
        <w:t>20</w:t>
      </w:r>
    </w:p>
    <w:p w14:paraId="7CF50527" w14:textId="71A13EEB" w:rsidR="004B2A81" w:rsidRDefault="004B2A81">
      <w:pPr>
        <w:pStyle w:val="TOC1"/>
        <w:rPr>
          <w:rFonts w:asciiTheme="minorHAnsi" w:eastAsiaTheme="minorEastAsia" w:hAnsiTheme="minorHAnsi" w:cstheme="minorBidi"/>
          <w:b w:val="0"/>
          <w:smallCaps w:val="0"/>
          <w:noProof/>
          <w:color w:val="auto"/>
        </w:rPr>
      </w:pPr>
      <w:r>
        <w:rPr>
          <w:noProof/>
        </w:rPr>
        <w:t>Product safety</w:t>
      </w:r>
      <w:r>
        <w:rPr>
          <w:noProof/>
        </w:rPr>
        <w:tab/>
      </w:r>
      <w:r w:rsidR="00B90BA1">
        <w:rPr>
          <w:noProof/>
        </w:rPr>
        <w:t>21</w:t>
      </w:r>
    </w:p>
    <w:p w14:paraId="5ED3AF24" w14:textId="12535D24" w:rsidR="004B2A81" w:rsidRDefault="004B2A81">
      <w:pPr>
        <w:pStyle w:val="TOC2"/>
        <w:rPr>
          <w:rFonts w:asciiTheme="minorHAnsi" w:eastAsiaTheme="minorEastAsia" w:hAnsiTheme="minorHAnsi" w:cstheme="minorBidi"/>
          <w:noProof/>
          <w:color w:val="auto"/>
          <w:sz w:val="22"/>
          <w:szCs w:val="22"/>
        </w:rPr>
      </w:pPr>
      <w:r>
        <w:rPr>
          <w:noProof/>
        </w:rPr>
        <w:t>Overview</w:t>
      </w:r>
      <w:r>
        <w:rPr>
          <w:noProof/>
        </w:rPr>
        <w:tab/>
      </w:r>
      <w:r w:rsidR="00B90BA1">
        <w:rPr>
          <w:noProof/>
        </w:rPr>
        <w:t>21</w:t>
      </w:r>
    </w:p>
    <w:p w14:paraId="79F2E026" w14:textId="7ACAE360" w:rsidR="004B2A81" w:rsidRDefault="004B2A81">
      <w:pPr>
        <w:pStyle w:val="TOC3"/>
        <w:rPr>
          <w:rFonts w:asciiTheme="minorHAnsi" w:eastAsiaTheme="minorEastAsia" w:hAnsiTheme="minorHAnsi" w:cstheme="minorBidi"/>
          <w:noProof/>
          <w:color w:val="auto"/>
          <w:sz w:val="22"/>
          <w:szCs w:val="22"/>
        </w:rPr>
      </w:pPr>
      <w:r>
        <w:rPr>
          <w:noProof/>
        </w:rPr>
        <w:t>Promoting product safety in the community</w:t>
      </w:r>
      <w:r>
        <w:rPr>
          <w:noProof/>
        </w:rPr>
        <w:tab/>
      </w:r>
      <w:r w:rsidR="00B90BA1">
        <w:rPr>
          <w:noProof/>
        </w:rPr>
        <w:t>21</w:t>
      </w:r>
    </w:p>
    <w:p w14:paraId="758E1D78" w14:textId="2600D644" w:rsidR="004B2A81" w:rsidRDefault="004B2A81">
      <w:pPr>
        <w:pStyle w:val="TOC3"/>
        <w:rPr>
          <w:rFonts w:asciiTheme="minorHAnsi" w:eastAsiaTheme="minorEastAsia" w:hAnsiTheme="minorHAnsi" w:cstheme="minorBidi"/>
          <w:noProof/>
          <w:color w:val="auto"/>
          <w:sz w:val="22"/>
          <w:szCs w:val="22"/>
        </w:rPr>
      </w:pPr>
      <w:r>
        <w:rPr>
          <w:noProof/>
        </w:rPr>
        <w:t>Achieving compliance with Australia’s product safety system</w:t>
      </w:r>
      <w:r>
        <w:rPr>
          <w:noProof/>
        </w:rPr>
        <w:tab/>
      </w:r>
      <w:r w:rsidR="00B90BA1">
        <w:rPr>
          <w:noProof/>
        </w:rPr>
        <w:t>21</w:t>
      </w:r>
    </w:p>
    <w:p w14:paraId="680D749C" w14:textId="0D3EE71D" w:rsidR="004B2A81" w:rsidRDefault="004B2A81">
      <w:pPr>
        <w:pStyle w:val="TOC3"/>
        <w:rPr>
          <w:rFonts w:asciiTheme="minorHAnsi" w:eastAsiaTheme="minorEastAsia" w:hAnsiTheme="minorHAnsi" w:cstheme="minorBidi"/>
          <w:noProof/>
          <w:color w:val="auto"/>
          <w:sz w:val="22"/>
          <w:szCs w:val="22"/>
        </w:rPr>
      </w:pPr>
      <w:r>
        <w:rPr>
          <w:noProof/>
        </w:rPr>
        <w:t>Identifying and assessing emerging hazards</w:t>
      </w:r>
      <w:r>
        <w:rPr>
          <w:noProof/>
        </w:rPr>
        <w:tab/>
      </w:r>
      <w:r w:rsidR="00B90BA1">
        <w:rPr>
          <w:noProof/>
        </w:rPr>
        <w:t>23</w:t>
      </w:r>
    </w:p>
    <w:p w14:paraId="673F73CA" w14:textId="7F9AF82F" w:rsidR="004B2A81" w:rsidRDefault="004B2A81">
      <w:pPr>
        <w:pStyle w:val="TOC3"/>
        <w:rPr>
          <w:rFonts w:asciiTheme="minorHAnsi" w:eastAsiaTheme="minorEastAsia" w:hAnsiTheme="minorHAnsi" w:cstheme="minorBidi"/>
          <w:noProof/>
          <w:color w:val="auto"/>
          <w:sz w:val="22"/>
          <w:szCs w:val="22"/>
        </w:rPr>
      </w:pPr>
      <w:r>
        <w:rPr>
          <w:noProof/>
        </w:rPr>
        <w:t>Maintaining Australia’s product safety system</w:t>
      </w:r>
      <w:r>
        <w:rPr>
          <w:noProof/>
        </w:rPr>
        <w:tab/>
      </w:r>
      <w:r w:rsidR="00B90BA1">
        <w:rPr>
          <w:noProof/>
        </w:rPr>
        <w:t>23</w:t>
      </w:r>
    </w:p>
    <w:p w14:paraId="0849F489" w14:textId="047254CD" w:rsidR="004B2A81" w:rsidRDefault="004B2A81">
      <w:pPr>
        <w:pStyle w:val="TOC1"/>
        <w:rPr>
          <w:rFonts w:asciiTheme="minorHAnsi" w:eastAsiaTheme="minorEastAsia" w:hAnsiTheme="minorHAnsi" w:cstheme="minorBidi"/>
          <w:b w:val="0"/>
          <w:smallCaps w:val="0"/>
          <w:noProof/>
          <w:color w:val="auto"/>
        </w:rPr>
      </w:pPr>
      <w:r>
        <w:rPr>
          <w:noProof/>
        </w:rPr>
        <w:t>Appendix 1 — Australia’s consumer policy framework</w:t>
      </w:r>
      <w:r>
        <w:rPr>
          <w:noProof/>
        </w:rPr>
        <w:tab/>
      </w:r>
      <w:r w:rsidR="00B90BA1">
        <w:rPr>
          <w:noProof/>
        </w:rPr>
        <w:t>24</w:t>
      </w:r>
    </w:p>
    <w:p w14:paraId="1836F1AE" w14:textId="2F2D68F6" w:rsidR="004B2A81" w:rsidRDefault="004B2A81">
      <w:pPr>
        <w:pStyle w:val="TOC2"/>
        <w:rPr>
          <w:rFonts w:asciiTheme="minorHAnsi" w:eastAsiaTheme="minorEastAsia" w:hAnsiTheme="minorHAnsi" w:cstheme="minorBidi"/>
          <w:noProof/>
          <w:color w:val="auto"/>
          <w:sz w:val="22"/>
          <w:szCs w:val="22"/>
        </w:rPr>
      </w:pPr>
      <w:r>
        <w:rPr>
          <w:noProof/>
        </w:rPr>
        <w:t>The National Consumer Policy Objective</w:t>
      </w:r>
      <w:r>
        <w:rPr>
          <w:noProof/>
        </w:rPr>
        <w:tab/>
      </w:r>
      <w:r w:rsidR="00B90BA1">
        <w:rPr>
          <w:noProof/>
        </w:rPr>
        <w:t>24</w:t>
      </w:r>
    </w:p>
    <w:p w14:paraId="0EE265BF" w14:textId="69AE68DF" w:rsidR="004B2A81" w:rsidRDefault="004B2A81">
      <w:pPr>
        <w:pStyle w:val="TOC3"/>
        <w:rPr>
          <w:rFonts w:asciiTheme="minorHAnsi" w:eastAsiaTheme="minorEastAsia" w:hAnsiTheme="minorHAnsi" w:cstheme="minorBidi"/>
          <w:noProof/>
          <w:color w:val="auto"/>
          <w:sz w:val="22"/>
          <w:szCs w:val="22"/>
        </w:rPr>
      </w:pPr>
      <w:r>
        <w:rPr>
          <w:noProof/>
        </w:rPr>
        <w:t>Figure 2: Alignment of operational objectives with CAANZ committees</w:t>
      </w:r>
      <w:r>
        <w:rPr>
          <w:noProof/>
        </w:rPr>
        <w:tab/>
      </w:r>
      <w:r w:rsidR="00B90BA1">
        <w:rPr>
          <w:noProof/>
        </w:rPr>
        <w:t>25</w:t>
      </w:r>
    </w:p>
    <w:p w14:paraId="1E661972" w14:textId="45C9ADEC" w:rsidR="004B2A81" w:rsidRDefault="004B2A81">
      <w:pPr>
        <w:pStyle w:val="TOC2"/>
        <w:rPr>
          <w:rFonts w:asciiTheme="minorHAnsi" w:eastAsiaTheme="minorEastAsia" w:hAnsiTheme="minorHAnsi" w:cstheme="minorBidi"/>
          <w:noProof/>
          <w:color w:val="auto"/>
          <w:sz w:val="22"/>
          <w:szCs w:val="22"/>
        </w:rPr>
      </w:pPr>
      <w:r>
        <w:rPr>
          <w:noProof/>
        </w:rPr>
        <w:t>Intergovernmental Agreement for the Australian Consumer Law</w:t>
      </w:r>
      <w:r>
        <w:rPr>
          <w:noProof/>
        </w:rPr>
        <w:tab/>
      </w:r>
      <w:r w:rsidR="00B90BA1">
        <w:rPr>
          <w:noProof/>
        </w:rPr>
        <w:t>26</w:t>
      </w:r>
    </w:p>
    <w:p w14:paraId="4DEAE1B6" w14:textId="11A6ED44" w:rsidR="004B2A81" w:rsidRDefault="004B2A81">
      <w:pPr>
        <w:pStyle w:val="TOC3"/>
        <w:rPr>
          <w:rFonts w:asciiTheme="minorHAnsi" w:eastAsiaTheme="minorEastAsia" w:hAnsiTheme="minorHAnsi" w:cstheme="minorBidi"/>
          <w:noProof/>
          <w:color w:val="auto"/>
          <w:sz w:val="22"/>
          <w:szCs w:val="22"/>
        </w:rPr>
      </w:pPr>
      <w:r>
        <w:rPr>
          <w:noProof/>
        </w:rPr>
        <w:t>Review of the ACL</w:t>
      </w:r>
      <w:r>
        <w:rPr>
          <w:noProof/>
        </w:rPr>
        <w:tab/>
      </w:r>
      <w:r w:rsidR="00B90BA1">
        <w:rPr>
          <w:noProof/>
        </w:rPr>
        <w:t>26</w:t>
      </w:r>
    </w:p>
    <w:p w14:paraId="46E1DEE7" w14:textId="171F12BC" w:rsidR="004B2A81" w:rsidRDefault="004B2A81">
      <w:pPr>
        <w:pStyle w:val="TOC2"/>
        <w:rPr>
          <w:rFonts w:asciiTheme="minorHAnsi" w:eastAsiaTheme="minorEastAsia" w:hAnsiTheme="minorHAnsi" w:cstheme="minorBidi"/>
          <w:noProof/>
          <w:color w:val="auto"/>
          <w:sz w:val="22"/>
          <w:szCs w:val="22"/>
        </w:rPr>
      </w:pPr>
      <w:r>
        <w:rPr>
          <w:noProof/>
        </w:rPr>
        <w:t>Australia’s consumer agencies</w:t>
      </w:r>
      <w:r>
        <w:rPr>
          <w:noProof/>
        </w:rPr>
        <w:tab/>
      </w:r>
      <w:r w:rsidR="00B90BA1">
        <w:rPr>
          <w:noProof/>
        </w:rPr>
        <w:t>27</w:t>
      </w:r>
    </w:p>
    <w:p w14:paraId="62313150" w14:textId="614DFC4E" w:rsidR="004B2A81" w:rsidRDefault="004B2A81">
      <w:pPr>
        <w:pStyle w:val="TOC3"/>
        <w:rPr>
          <w:rFonts w:asciiTheme="minorHAnsi" w:eastAsiaTheme="minorEastAsia" w:hAnsiTheme="minorHAnsi" w:cstheme="minorBidi"/>
          <w:noProof/>
          <w:color w:val="auto"/>
          <w:sz w:val="22"/>
          <w:szCs w:val="22"/>
        </w:rPr>
      </w:pPr>
      <w:r>
        <w:rPr>
          <w:noProof/>
        </w:rPr>
        <w:t>The ACL Memorandum of Understanding</w:t>
      </w:r>
      <w:r>
        <w:rPr>
          <w:noProof/>
        </w:rPr>
        <w:tab/>
      </w:r>
      <w:r w:rsidR="00B90BA1">
        <w:rPr>
          <w:noProof/>
        </w:rPr>
        <w:t>27</w:t>
      </w:r>
    </w:p>
    <w:p w14:paraId="566DF563" w14:textId="45551398" w:rsidR="005F2657" w:rsidRDefault="005F2657">
      <w:pPr>
        <w:pStyle w:val="FooterBase"/>
        <w:spacing w:after="240" w:line="260" w:lineRule="exact"/>
        <w:rPr>
          <w:rFonts w:ascii="Book Antiqua" w:hAnsi="Book Antiqua"/>
          <w:vanish/>
        </w:rPr>
      </w:pPr>
    </w:p>
    <w:p w14:paraId="6FA65E9F" w14:textId="2FE9482A" w:rsidR="005F2657" w:rsidRDefault="005F2657" w:rsidP="001E3F05">
      <w:pPr>
        <w:pStyle w:val="Heading1"/>
        <w:sectPr w:rsidR="005F2657" w:rsidSect="00F8272F">
          <w:pgSz w:w="11906" w:h="16838" w:code="9"/>
          <w:pgMar w:top="1418" w:right="1418" w:bottom="1418" w:left="1418" w:header="709" w:footer="709" w:gutter="0"/>
          <w:pgNumType w:fmt="lowerRoman"/>
          <w:cols w:space="708"/>
          <w:docGrid w:linePitch="360"/>
        </w:sectPr>
      </w:pPr>
    </w:p>
    <w:p w14:paraId="43DB95DD" w14:textId="7A823133" w:rsidR="001E3F05" w:rsidRDefault="001E3F05" w:rsidP="001E3F05">
      <w:pPr>
        <w:pStyle w:val="Heading1"/>
      </w:pPr>
      <w:bookmarkStart w:id="4" w:name="_Toc342381468"/>
      <w:r>
        <w:lastRenderedPageBreak/>
        <w:t>Letter to the Chair of CAF,</w:t>
      </w:r>
      <w:r>
        <w:br/>
        <w:t xml:space="preserve">The Hon </w:t>
      </w:r>
      <w:r w:rsidR="00026ACF">
        <w:t>Anthony Roberts MP</w:t>
      </w:r>
      <w:bookmarkEnd w:id="0"/>
      <w:bookmarkEnd w:id="1"/>
      <w:bookmarkEnd w:id="4"/>
    </w:p>
    <w:p w14:paraId="43DB95DE" w14:textId="50675C6F" w:rsidR="001E3F05" w:rsidRPr="00075584" w:rsidRDefault="001E3F05" w:rsidP="005F2657">
      <w:pPr>
        <w:pStyle w:val="SingleParagraph"/>
      </w:pPr>
      <w:r>
        <w:t xml:space="preserve">The Hon </w:t>
      </w:r>
      <w:r w:rsidR="00026ACF">
        <w:t>Anthony Roberts</w:t>
      </w:r>
      <w:r>
        <w:t xml:space="preserve"> MP</w:t>
      </w:r>
      <w:r w:rsidRPr="00075584">
        <w:br/>
        <w:t>Chair</w:t>
      </w:r>
      <w:r>
        <w:t>, COAG Legislative and Governance Forum on Consumer Affairs</w:t>
      </w:r>
      <w:r w:rsidRPr="00075584">
        <w:br/>
        <w:t>c/</w:t>
      </w:r>
      <w:r w:rsidR="00433B24">
        <w:noBreakHyphen/>
      </w:r>
      <w:r w:rsidRPr="00075584">
        <w:t xml:space="preserve"> </w:t>
      </w:r>
      <w:r>
        <w:t>CAF</w:t>
      </w:r>
      <w:r w:rsidRPr="00075584">
        <w:t xml:space="preserve"> Secretariat</w:t>
      </w:r>
      <w:r w:rsidRPr="00075584">
        <w:br/>
        <w:t>The Treasury</w:t>
      </w:r>
      <w:r w:rsidRPr="00075584">
        <w:br/>
        <w:t>Langton Crescent</w:t>
      </w:r>
      <w:r w:rsidRPr="00075584">
        <w:br/>
        <w:t>PARKES ACT 2600</w:t>
      </w:r>
    </w:p>
    <w:p w14:paraId="43DB95DF" w14:textId="77777777" w:rsidR="001E3F05" w:rsidRPr="00075584" w:rsidRDefault="001E3F05" w:rsidP="001E3F05">
      <w:pPr>
        <w:jc w:val="right"/>
        <w:rPr>
          <w:sz w:val="20"/>
        </w:rPr>
      </w:pPr>
      <w:r>
        <w:rPr>
          <w:sz w:val="20"/>
        </w:rPr>
        <w:t>7 December</w:t>
      </w:r>
      <w:r w:rsidRPr="00075584">
        <w:rPr>
          <w:sz w:val="20"/>
        </w:rPr>
        <w:t xml:space="preserve"> 201</w:t>
      </w:r>
      <w:r>
        <w:rPr>
          <w:sz w:val="20"/>
        </w:rPr>
        <w:t>2</w:t>
      </w:r>
    </w:p>
    <w:p w14:paraId="43DB95E0" w14:textId="77777777" w:rsidR="001E3F05" w:rsidRDefault="001E3F05" w:rsidP="001E3F05">
      <w:r w:rsidRPr="00680AB2">
        <w:t>Dear Minister</w:t>
      </w:r>
    </w:p>
    <w:p w14:paraId="43DB95E1" w14:textId="4C6C8488" w:rsidR="001E3F05" w:rsidRPr="00680AB2" w:rsidRDefault="001E3F05" w:rsidP="001E3F05">
      <w:r>
        <w:t>The Australian Consumer Law (ACL) was introduced</w:t>
      </w:r>
      <w:r w:rsidR="001E6D94">
        <w:t xml:space="preserve"> on</w:t>
      </w:r>
      <w:r>
        <w:t xml:space="preserve"> 1 January 2011 and this second report on progress</w:t>
      </w:r>
      <w:r w:rsidRPr="00680AB2">
        <w:t xml:space="preserve"> provides an update </w:t>
      </w:r>
      <w:r>
        <w:t>of ongoing implementation</w:t>
      </w:r>
      <w:r w:rsidRPr="007F4EE7">
        <w:t xml:space="preserve"> </w:t>
      </w:r>
      <w:r>
        <w:t>activities</w:t>
      </w:r>
      <w:r w:rsidR="00433B24">
        <w:t xml:space="preserve">. </w:t>
      </w:r>
      <w:r w:rsidR="004A271F">
        <w:t>It includes</w:t>
      </w:r>
      <w:r>
        <w:t xml:space="preserve"> highlights from coordinated enforcement and education initiatives</w:t>
      </w:r>
      <w:r w:rsidRPr="00680AB2">
        <w:t xml:space="preserve"> that have occurred during the period between 1 July 2011 and 30 June 2012.</w:t>
      </w:r>
    </w:p>
    <w:p w14:paraId="43DB95E2" w14:textId="01839541" w:rsidR="001E3F05" w:rsidRDefault="001E3F05" w:rsidP="005F2657">
      <w:r>
        <w:t>In 2011</w:t>
      </w:r>
      <w:r w:rsidR="00433B24">
        <w:noBreakHyphen/>
      </w:r>
      <w:r>
        <w:t>12, a key focus for agencies has been to</w:t>
      </w:r>
      <w:r w:rsidRPr="00E8437A">
        <w:rPr>
          <w:lang w:val="en"/>
        </w:rPr>
        <w:t xml:space="preserve"> </w:t>
      </w:r>
      <w:r>
        <w:rPr>
          <w:lang w:val="en"/>
        </w:rPr>
        <w:t xml:space="preserve">build on existing networks </w:t>
      </w:r>
      <w:r w:rsidR="004A271F">
        <w:rPr>
          <w:lang w:val="en"/>
        </w:rPr>
        <w:t xml:space="preserve">that </w:t>
      </w:r>
      <w:r>
        <w:rPr>
          <w:lang w:val="en"/>
        </w:rPr>
        <w:t>support the multi</w:t>
      </w:r>
      <w:r w:rsidR="00433B24">
        <w:rPr>
          <w:lang w:val="en"/>
        </w:rPr>
        <w:noBreakHyphen/>
      </w:r>
      <w:r>
        <w:rPr>
          <w:lang w:val="en"/>
        </w:rPr>
        <w:t>regulator model of the ACL</w:t>
      </w:r>
      <w:r w:rsidR="00433B24">
        <w:rPr>
          <w:lang w:val="en"/>
        </w:rPr>
        <w:t xml:space="preserve">. </w:t>
      </w:r>
      <w:r>
        <w:rPr>
          <w:lang w:val="en"/>
        </w:rPr>
        <w:t>T</w:t>
      </w:r>
      <w:r>
        <w:t>he collaborative leadership model for the ACL has been further strengthened and consolidated through Consumer Affairs Australia and New Zealand (CAANZ) and its advisory committees</w:t>
      </w:r>
      <w:r w:rsidR="00433B24">
        <w:t xml:space="preserve">. </w:t>
      </w:r>
      <w:r>
        <w:t xml:space="preserve">Commonwealth, </w:t>
      </w:r>
      <w:r w:rsidR="00C504F5">
        <w:t>s</w:t>
      </w:r>
      <w:r>
        <w:t xml:space="preserve">tate and </w:t>
      </w:r>
      <w:r w:rsidR="00C504F5">
        <w:t>t</w:t>
      </w:r>
      <w:r>
        <w:t xml:space="preserve">erritory officials have worked collaboratively on a range of initiatives which have benefited from </w:t>
      </w:r>
      <w:r w:rsidRPr="00C127CC">
        <w:t>an enhanced level of engagement between Australia’s consumer policy and enforcement agencies</w:t>
      </w:r>
      <w:r w:rsidR="00433B24">
        <w:t xml:space="preserve">. </w:t>
      </w:r>
      <w:r>
        <w:t>This work includes:</w:t>
      </w:r>
    </w:p>
    <w:p w14:paraId="43DB95E3" w14:textId="77777777" w:rsidR="001E3F05" w:rsidRPr="00680AB2" w:rsidRDefault="001E3F05" w:rsidP="001E3F05">
      <w:pPr>
        <w:pStyle w:val="Bullet"/>
        <w:spacing w:after="120"/>
        <w:ind w:left="522" w:hanging="522"/>
      </w:pPr>
      <w:r>
        <w:t>closer</w:t>
      </w:r>
      <w:r w:rsidRPr="00680AB2">
        <w:t xml:space="preserve"> policy development, </w:t>
      </w:r>
      <w:r>
        <w:t>including through national research projects and coordinated consideration of amendments to the ACL and its regulations;</w:t>
      </w:r>
    </w:p>
    <w:p w14:paraId="43DB95E4" w14:textId="77777777" w:rsidR="001E3F05" w:rsidRDefault="001E3F05" w:rsidP="001E3F05">
      <w:pPr>
        <w:pStyle w:val="Bullet"/>
        <w:spacing w:after="120"/>
        <w:ind w:left="522" w:hanging="522"/>
      </w:pPr>
      <w:r>
        <w:t>promoting and ensuring compliance with Australia’s product safety system;</w:t>
      </w:r>
    </w:p>
    <w:p w14:paraId="43DB95E5" w14:textId="77777777" w:rsidR="001E3F05" w:rsidRPr="00680AB2" w:rsidRDefault="001E3F05" w:rsidP="001E3F05">
      <w:pPr>
        <w:pStyle w:val="Bullet"/>
        <w:spacing w:after="120"/>
        <w:ind w:left="522" w:hanging="522"/>
      </w:pPr>
      <w:r>
        <w:t>a national communication and media strategy incorporating consumer as well as</w:t>
      </w:r>
      <w:r w:rsidRPr="00F47F9C">
        <w:t xml:space="preserve"> business</w:t>
      </w:r>
      <w:r>
        <w:t xml:space="preserve"> education and information activities; and</w:t>
      </w:r>
    </w:p>
    <w:p w14:paraId="43DB95E6" w14:textId="77777777" w:rsidR="001E3F05" w:rsidRDefault="001E3F05" w:rsidP="001E3F05">
      <w:pPr>
        <w:pStyle w:val="Bullet"/>
        <w:spacing w:after="120"/>
        <w:ind w:left="522" w:hanging="522"/>
      </w:pPr>
      <w:r>
        <w:t>coordinated and timely support for consumers</w:t>
      </w:r>
      <w:r w:rsidRPr="000102E0">
        <w:t xml:space="preserve"> </w:t>
      </w:r>
      <w:r>
        <w:t>including national action on c</w:t>
      </w:r>
      <w:r w:rsidRPr="00F47F9C">
        <w:t>ompliance, dispute resolution and</w:t>
      </w:r>
      <w:r>
        <w:t xml:space="preserve"> </w:t>
      </w:r>
      <w:r w:rsidRPr="00F47F9C">
        <w:t>enforcement issues.</w:t>
      </w:r>
    </w:p>
    <w:p w14:paraId="43DB95E7" w14:textId="4CFA4580" w:rsidR="001E3F05" w:rsidRDefault="001E3F05" w:rsidP="005F2657">
      <w:r>
        <w:t>The ACL is approaching its second year of implementation and has offered significant benefits to the Australian community</w:t>
      </w:r>
      <w:r w:rsidR="00433B24">
        <w:t xml:space="preserve">. </w:t>
      </w:r>
      <w:r>
        <w:t>These include through strengthened enforcement and consumer redress provisions as well as through an integrated and harmonised approach to consumer protection</w:t>
      </w:r>
      <w:r w:rsidR="00433B24">
        <w:t xml:space="preserve">. </w:t>
      </w:r>
      <w:r>
        <w:t>This report outlines work that has contributed towards these benefits</w:t>
      </w:r>
      <w:r w:rsidR="00B86367">
        <w:t>.</w:t>
      </w:r>
    </w:p>
    <w:p w14:paraId="43DB95E8" w14:textId="369F0889" w:rsidR="001E6D94" w:rsidRDefault="00771263" w:rsidP="007A7C16">
      <w:pPr>
        <w:pStyle w:val="Bullet"/>
        <w:numPr>
          <w:ilvl w:val="0"/>
          <w:numId w:val="0"/>
        </w:numPr>
        <w:spacing w:before="240" w:line="240" w:lineRule="auto"/>
      </w:pPr>
      <w:r>
        <w:rPr>
          <w:noProof/>
        </w:rPr>
        <w:t>SIGNED</w:t>
      </w:r>
    </w:p>
    <w:p w14:paraId="43DB95EA" w14:textId="77777777" w:rsidR="001E3F05" w:rsidRDefault="00026ACF" w:rsidP="001E3F05">
      <w:pPr>
        <w:pStyle w:val="Caption"/>
      </w:pPr>
      <w:r>
        <w:rPr>
          <w:sz w:val="20"/>
        </w:rPr>
        <w:t>Rod Stowe</w:t>
      </w:r>
      <w:r w:rsidR="001E3F05" w:rsidRPr="00075584">
        <w:rPr>
          <w:sz w:val="20"/>
        </w:rPr>
        <w:br/>
        <w:t xml:space="preserve">Chair, </w:t>
      </w:r>
      <w:r w:rsidR="001E3F05">
        <w:rPr>
          <w:sz w:val="20"/>
        </w:rPr>
        <w:t>Consumer Affairs Australia and New Zealand</w:t>
      </w:r>
      <w:r w:rsidR="001E3F05">
        <w:br w:type="page"/>
      </w:r>
    </w:p>
    <w:tbl>
      <w:tblPr>
        <w:tblStyle w:val="TableGrid"/>
        <w:tblW w:w="0" w:type="auto"/>
        <w:tblLook w:val="04A0" w:firstRow="1" w:lastRow="0" w:firstColumn="1" w:lastColumn="0" w:noHBand="0" w:noVBand="1"/>
      </w:tblPr>
      <w:tblGrid>
        <w:gridCol w:w="9286"/>
      </w:tblGrid>
      <w:tr w:rsidR="001E3F05" w14:paraId="43DB95EF" w14:textId="77777777" w:rsidTr="001E3F05">
        <w:tc>
          <w:tcPr>
            <w:tcW w:w="9286" w:type="dxa"/>
          </w:tcPr>
          <w:tbl>
            <w:tblPr>
              <w:tblpPr w:leftFromText="180" w:rightFromText="180" w:vertAnchor="text" w:horzAnchor="margin" w:tblpY="126"/>
              <w:tblW w:w="9072" w:type="dxa"/>
              <w:tblLook w:val="00A0" w:firstRow="1" w:lastRow="0" w:firstColumn="1" w:lastColumn="0" w:noHBand="0" w:noVBand="0"/>
            </w:tblPr>
            <w:tblGrid>
              <w:gridCol w:w="9072"/>
            </w:tblGrid>
            <w:tr w:rsidR="001E3F05" w14:paraId="43DB95ED" w14:textId="77777777" w:rsidTr="000E5372">
              <w:tc>
                <w:tcPr>
                  <w:tcW w:w="9072" w:type="dxa"/>
                  <w:shd w:val="clear" w:color="auto" w:fill="E6E6E6"/>
                </w:tcPr>
                <w:p w14:paraId="43DB95EB" w14:textId="77777777" w:rsidR="001E3F05" w:rsidRPr="00937B98" w:rsidRDefault="001E3F05" w:rsidP="001E3F05">
                  <w:pPr>
                    <w:pStyle w:val="BoxHeading"/>
                    <w:jc w:val="both"/>
                  </w:pPr>
                  <w:r>
                    <w:rPr>
                      <w:b w:val="0"/>
                    </w:rPr>
                    <w:lastRenderedPageBreak/>
                    <w:br w:type="page"/>
                  </w:r>
                  <w:r>
                    <w:t>Consumer Affairs Australia and New Zealand (CAANZ)</w:t>
                  </w:r>
                </w:p>
                <w:p w14:paraId="43DB95EC" w14:textId="49504824" w:rsidR="001E3F05" w:rsidRPr="00937B98" w:rsidRDefault="001E3F05" w:rsidP="00621A00">
                  <w:pPr>
                    <w:pStyle w:val="BoxText"/>
                  </w:pPr>
                  <w:r>
                    <w:t>CAANZ is made up of the senior officers responsible for consumer policy and enforcement in the Australian Treasury, the Australian Competition and Consumer Commission and the Australian Securities and Investments Commission, NSW Fair Trading, Consumer Affairs Victoria, the Queensland Office of Fair Trading, W</w:t>
                  </w:r>
                  <w:r w:rsidR="00F26F3E">
                    <w:t>estern Australia</w:t>
                  </w:r>
                  <w:r>
                    <w:t xml:space="preserve"> Department of Commerce, SA </w:t>
                  </w:r>
                  <w:r w:rsidR="00621A00">
                    <w:t>Consumer and Business Services</w:t>
                  </w:r>
                  <w:r>
                    <w:t xml:space="preserve">, Tasmanian Office of Consumer Affairs and Fair Trading, the ACT Office of Regulatory Services, NT Consumer Affairs and the </w:t>
                  </w:r>
                  <w:r w:rsidR="004371E2" w:rsidRPr="00E92463">
                    <w:t>New Zealand Ministry of Business, Innovation and Employment</w:t>
                  </w:r>
                  <w:r w:rsidR="00433B24">
                    <w:t xml:space="preserve">. </w:t>
                  </w:r>
                  <w:r>
                    <w:t>In 2011, CAANZ transitioned from the Standing Council of Officials on Consumer Affairs (SCOCA).</w:t>
                  </w:r>
                </w:p>
              </w:tc>
            </w:tr>
          </w:tbl>
          <w:p w14:paraId="43DB95EE" w14:textId="77777777" w:rsidR="001E3F05" w:rsidRDefault="001E3F05" w:rsidP="00C613D0">
            <w:pPr>
              <w:pStyle w:val="Heading1"/>
              <w:outlineLvl w:val="0"/>
            </w:pPr>
          </w:p>
        </w:tc>
      </w:tr>
    </w:tbl>
    <w:p w14:paraId="43DB95F0" w14:textId="77777777" w:rsidR="00833E4F" w:rsidRDefault="00833E4F" w:rsidP="005F2657">
      <w:pPr>
        <w:pStyle w:val="SingleParagraph"/>
      </w:pPr>
    </w:p>
    <w:p w14:paraId="43DB95F1" w14:textId="77777777" w:rsidR="00833E4F" w:rsidRDefault="00833E4F" w:rsidP="00833E4F">
      <w:pPr>
        <w:rPr>
          <w:rFonts w:ascii="Arial" w:hAnsi="Arial" w:cs="Arial"/>
          <w:color w:val="00673A"/>
          <w:kern w:val="32"/>
          <w:sz w:val="36"/>
          <w:szCs w:val="36"/>
        </w:rPr>
      </w:pPr>
      <w:r>
        <w:br w:type="page"/>
      </w:r>
    </w:p>
    <w:p w14:paraId="43DB95F2" w14:textId="77777777" w:rsidR="00C613D0" w:rsidRPr="00144CBD" w:rsidRDefault="00C613D0" w:rsidP="00C613D0">
      <w:pPr>
        <w:pStyle w:val="Heading1"/>
      </w:pPr>
      <w:bookmarkStart w:id="5" w:name="_Toc342299158"/>
      <w:bookmarkStart w:id="6" w:name="_Toc342299501"/>
      <w:bookmarkStart w:id="7" w:name="_Toc342381469"/>
      <w:r>
        <w:lastRenderedPageBreak/>
        <w:t>Gl</w:t>
      </w:r>
      <w:r w:rsidRPr="00144CBD">
        <w:t>ossary of terms</w:t>
      </w:r>
      <w:bookmarkEnd w:id="2"/>
      <w:bookmarkEnd w:id="3"/>
      <w:bookmarkEnd w:id="5"/>
      <w:bookmarkEnd w:id="6"/>
      <w:bookmarkEnd w:id="7"/>
    </w:p>
    <w:tbl>
      <w:tblPr>
        <w:tblW w:w="5000" w:type="pct"/>
        <w:tblLook w:val="01E0" w:firstRow="1" w:lastRow="1" w:firstColumn="1" w:lastColumn="1" w:noHBand="0" w:noVBand="0"/>
      </w:tblPr>
      <w:tblGrid>
        <w:gridCol w:w="1632"/>
        <w:gridCol w:w="7654"/>
      </w:tblGrid>
      <w:tr w:rsidR="00C613D0" w:rsidRPr="00144CBD" w14:paraId="43DB95F5" w14:textId="77777777" w:rsidTr="00C613D0">
        <w:tc>
          <w:tcPr>
            <w:tcW w:w="879" w:type="pct"/>
          </w:tcPr>
          <w:p w14:paraId="43DB95F3" w14:textId="77777777" w:rsidR="00C613D0" w:rsidRDefault="00C613D0" w:rsidP="00C613D0">
            <w:pPr>
              <w:jc w:val="both"/>
            </w:pPr>
            <w:bookmarkStart w:id="8" w:name="OLE_LINK1"/>
            <w:bookmarkStart w:id="9" w:name="OLE_LINK2"/>
            <w:r>
              <w:t>ACCC</w:t>
            </w:r>
          </w:p>
        </w:tc>
        <w:tc>
          <w:tcPr>
            <w:tcW w:w="4121" w:type="pct"/>
          </w:tcPr>
          <w:p w14:paraId="43DB95F4" w14:textId="77777777" w:rsidR="00C613D0" w:rsidRDefault="00C613D0" w:rsidP="00C613D0">
            <w:pPr>
              <w:jc w:val="both"/>
            </w:pPr>
            <w:r>
              <w:t>Australian Competition and Consumer Commission</w:t>
            </w:r>
          </w:p>
        </w:tc>
      </w:tr>
      <w:tr w:rsidR="00C613D0" w:rsidRPr="00144CBD" w14:paraId="43DB95F8" w14:textId="77777777" w:rsidTr="00C613D0">
        <w:tc>
          <w:tcPr>
            <w:tcW w:w="879" w:type="pct"/>
          </w:tcPr>
          <w:p w14:paraId="43DB95F6" w14:textId="77777777" w:rsidR="00C613D0" w:rsidRPr="00144CBD" w:rsidRDefault="00C613D0" w:rsidP="00C613D0">
            <w:pPr>
              <w:jc w:val="both"/>
            </w:pPr>
            <w:r w:rsidRPr="00144CBD">
              <w:t>ACL</w:t>
            </w:r>
          </w:p>
        </w:tc>
        <w:tc>
          <w:tcPr>
            <w:tcW w:w="4121" w:type="pct"/>
          </w:tcPr>
          <w:p w14:paraId="43DB95F7" w14:textId="77777777" w:rsidR="00C613D0" w:rsidRPr="00144CBD" w:rsidRDefault="00C613D0" w:rsidP="00C613D0">
            <w:pPr>
              <w:jc w:val="both"/>
            </w:pPr>
            <w:r w:rsidRPr="00144CBD">
              <w:t>Australian Consumer Law</w:t>
            </w:r>
          </w:p>
        </w:tc>
      </w:tr>
      <w:tr w:rsidR="00C613D0" w:rsidRPr="00144CBD" w14:paraId="43DB95FB" w14:textId="77777777" w:rsidTr="00C613D0">
        <w:tc>
          <w:tcPr>
            <w:tcW w:w="879" w:type="pct"/>
          </w:tcPr>
          <w:p w14:paraId="43DB95F9" w14:textId="77777777" w:rsidR="00C613D0" w:rsidRPr="00144CBD" w:rsidRDefault="00C613D0" w:rsidP="00C613D0">
            <w:pPr>
              <w:jc w:val="both"/>
            </w:pPr>
            <w:r>
              <w:t>ASIC</w:t>
            </w:r>
          </w:p>
        </w:tc>
        <w:tc>
          <w:tcPr>
            <w:tcW w:w="4121" w:type="pct"/>
          </w:tcPr>
          <w:p w14:paraId="43DB95FA" w14:textId="77777777" w:rsidR="00C613D0" w:rsidRPr="00144CBD" w:rsidRDefault="00C613D0" w:rsidP="00C613D0">
            <w:pPr>
              <w:jc w:val="both"/>
            </w:pPr>
            <w:r>
              <w:t>Australian Securities and Investments Commission</w:t>
            </w:r>
          </w:p>
        </w:tc>
      </w:tr>
      <w:tr w:rsidR="00C613D0" w:rsidRPr="00144CBD" w14:paraId="43DB95FE" w14:textId="77777777" w:rsidTr="00C613D0">
        <w:tc>
          <w:tcPr>
            <w:tcW w:w="879" w:type="pct"/>
          </w:tcPr>
          <w:p w14:paraId="43DB95FC" w14:textId="77777777" w:rsidR="00C613D0" w:rsidRPr="00144CBD" w:rsidRDefault="00C613D0" w:rsidP="00C613D0">
            <w:pPr>
              <w:jc w:val="both"/>
            </w:pPr>
            <w:r w:rsidRPr="00144CBD">
              <w:t>ASIC Act</w:t>
            </w:r>
          </w:p>
        </w:tc>
        <w:tc>
          <w:tcPr>
            <w:tcW w:w="4121" w:type="pct"/>
          </w:tcPr>
          <w:p w14:paraId="43DB95FD" w14:textId="77777777" w:rsidR="00C613D0" w:rsidRPr="00144CBD" w:rsidRDefault="00C613D0" w:rsidP="00C613D0">
            <w:pPr>
              <w:jc w:val="both"/>
            </w:pPr>
            <w:r w:rsidRPr="00144CBD">
              <w:rPr>
                <w:i/>
              </w:rPr>
              <w:t>Australian Securities and Investments Commission Act 2001</w:t>
            </w:r>
          </w:p>
        </w:tc>
      </w:tr>
      <w:tr w:rsidR="004136EC" w:rsidRPr="00144CBD" w14:paraId="43DB9601" w14:textId="77777777" w:rsidTr="00C613D0">
        <w:tc>
          <w:tcPr>
            <w:tcW w:w="879" w:type="pct"/>
          </w:tcPr>
          <w:p w14:paraId="43DB95FF" w14:textId="77777777" w:rsidR="004136EC" w:rsidRPr="00144CBD" w:rsidRDefault="004136EC" w:rsidP="0024783B">
            <w:pPr>
              <w:jc w:val="both"/>
            </w:pPr>
            <w:r>
              <w:t>CAF</w:t>
            </w:r>
          </w:p>
        </w:tc>
        <w:tc>
          <w:tcPr>
            <w:tcW w:w="4121" w:type="pct"/>
          </w:tcPr>
          <w:p w14:paraId="43DB9600" w14:textId="77777777" w:rsidR="004136EC" w:rsidRPr="00144CBD" w:rsidRDefault="004136EC" w:rsidP="0024783B">
            <w:pPr>
              <w:jc w:val="both"/>
            </w:pPr>
            <w:r>
              <w:t>COAG Governance and Legislative Forum on Consumer Affairs</w:t>
            </w:r>
          </w:p>
        </w:tc>
      </w:tr>
      <w:tr w:rsidR="004136EC" w:rsidRPr="00144CBD" w14:paraId="43DB9604" w14:textId="77777777" w:rsidTr="00C613D0">
        <w:tc>
          <w:tcPr>
            <w:tcW w:w="879" w:type="pct"/>
          </w:tcPr>
          <w:p w14:paraId="43DB9602" w14:textId="77777777" w:rsidR="004136EC" w:rsidRDefault="004136EC" w:rsidP="00C613D0">
            <w:pPr>
              <w:jc w:val="both"/>
            </w:pPr>
            <w:r>
              <w:t>CAV</w:t>
            </w:r>
          </w:p>
        </w:tc>
        <w:tc>
          <w:tcPr>
            <w:tcW w:w="4121" w:type="pct"/>
          </w:tcPr>
          <w:p w14:paraId="43DB9603" w14:textId="77777777" w:rsidR="004136EC" w:rsidRPr="0019554A" w:rsidRDefault="004136EC" w:rsidP="00C613D0">
            <w:pPr>
              <w:jc w:val="both"/>
            </w:pPr>
            <w:r w:rsidRPr="0019554A">
              <w:t>Consumer Affairs Victoria</w:t>
            </w:r>
          </w:p>
        </w:tc>
      </w:tr>
      <w:tr w:rsidR="00260BA1" w:rsidRPr="00144CBD" w14:paraId="43DB9607" w14:textId="77777777" w:rsidTr="00C613D0">
        <w:tc>
          <w:tcPr>
            <w:tcW w:w="879" w:type="pct"/>
          </w:tcPr>
          <w:p w14:paraId="43DB9605" w14:textId="77777777" w:rsidR="00260BA1" w:rsidRDefault="00260BA1" w:rsidP="00C613D0">
            <w:pPr>
              <w:jc w:val="both"/>
            </w:pPr>
            <w:r>
              <w:t>CBS</w:t>
            </w:r>
          </w:p>
        </w:tc>
        <w:tc>
          <w:tcPr>
            <w:tcW w:w="4121" w:type="pct"/>
          </w:tcPr>
          <w:p w14:paraId="43DB9606" w14:textId="77777777" w:rsidR="00260BA1" w:rsidRPr="006849DE" w:rsidRDefault="00260BA1" w:rsidP="004136EC">
            <w:pPr>
              <w:jc w:val="both"/>
              <w:rPr>
                <w:i/>
              </w:rPr>
            </w:pPr>
            <w:r>
              <w:t>Consumer and Business Services</w:t>
            </w:r>
            <w:r w:rsidR="00621A00">
              <w:t>, South Australia</w:t>
            </w:r>
          </w:p>
        </w:tc>
      </w:tr>
      <w:tr w:rsidR="00260BA1" w:rsidRPr="00144CBD" w14:paraId="43DB960A" w14:textId="77777777" w:rsidTr="00C613D0">
        <w:tc>
          <w:tcPr>
            <w:tcW w:w="879" w:type="pct"/>
          </w:tcPr>
          <w:p w14:paraId="43DB9608" w14:textId="77777777" w:rsidR="00260BA1" w:rsidRPr="00144CBD" w:rsidRDefault="00260BA1" w:rsidP="00C613D0">
            <w:pPr>
              <w:jc w:val="both"/>
            </w:pPr>
            <w:r>
              <w:t>CCA</w:t>
            </w:r>
          </w:p>
        </w:tc>
        <w:tc>
          <w:tcPr>
            <w:tcW w:w="4121" w:type="pct"/>
          </w:tcPr>
          <w:p w14:paraId="43DB9609" w14:textId="77777777" w:rsidR="00260BA1" w:rsidRPr="006849DE" w:rsidRDefault="00260BA1" w:rsidP="004136EC">
            <w:pPr>
              <w:jc w:val="both"/>
              <w:rPr>
                <w:i/>
              </w:rPr>
            </w:pPr>
            <w:r w:rsidRPr="006849DE">
              <w:rPr>
                <w:i/>
              </w:rPr>
              <w:t>Competition and Consumer Act 2010</w:t>
            </w:r>
          </w:p>
        </w:tc>
      </w:tr>
      <w:tr w:rsidR="00260BA1" w:rsidRPr="00144CBD" w14:paraId="43DB960D" w14:textId="77777777" w:rsidTr="00C613D0">
        <w:tc>
          <w:tcPr>
            <w:tcW w:w="879" w:type="pct"/>
          </w:tcPr>
          <w:p w14:paraId="43DB960B" w14:textId="77777777" w:rsidR="00260BA1" w:rsidRPr="00144CBD" w:rsidRDefault="00260BA1" w:rsidP="00C613D0">
            <w:pPr>
              <w:jc w:val="both"/>
            </w:pPr>
            <w:r>
              <w:t>CDRAC</w:t>
            </w:r>
          </w:p>
        </w:tc>
        <w:tc>
          <w:tcPr>
            <w:tcW w:w="4121" w:type="pct"/>
          </w:tcPr>
          <w:p w14:paraId="43DB960C" w14:textId="77777777" w:rsidR="00260BA1" w:rsidRPr="00144CBD" w:rsidRDefault="00260BA1" w:rsidP="00C613D0">
            <w:pPr>
              <w:jc w:val="both"/>
            </w:pPr>
            <w:r>
              <w:t>Compliance and Dispute Resolution Advisory Committee</w:t>
            </w:r>
          </w:p>
        </w:tc>
      </w:tr>
      <w:tr w:rsidR="00260BA1" w:rsidRPr="00144CBD" w14:paraId="43DB9610" w14:textId="77777777" w:rsidTr="00C613D0">
        <w:tc>
          <w:tcPr>
            <w:tcW w:w="879" w:type="pct"/>
          </w:tcPr>
          <w:p w14:paraId="43DB960E" w14:textId="77777777" w:rsidR="00260BA1" w:rsidRPr="00144CBD" w:rsidRDefault="00260BA1" w:rsidP="00C613D0">
            <w:pPr>
              <w:jc w:val="both"/>
            </w:pPr>
            <w:r w:rsidRPr="00144CBD">
              <w:t>COAG</w:t>
            </w:r>
          </w:p>
        </w:tc>
        <w:tc>
          <w:tcPr>
            <w:tcW w:w="4121" w:type="pct"/>
          </w:tcPr>
          <w:p w14:paraId="43DB960F" w14:textId="77777777" w:rsidR="00260BA1" w:rsidRPr="00144CBD" w:rsidRDefault="00260BA1" w:rsidP="00C613D0">
            <w:pPr>
              <w:jc w:val="both"/>
            </w:pPr>
            <w:r w:rsidRPr="00144CBD">
              <w:t>Council of Australian Governments</w:t>
            </w:r>
          </w:p>
        </w:tc>
      </w:tr>
      <w:tr w:rsidR="00417E28" w:rsidRPr="00144CBD" w14:paraId="43DB9613" w14:textId="77777777" w:rsidTr="00C613D0">
        <w:tc>
          <w:tcPr>
            <w:tcW w:w="879" w:type="pct"/>
          </w:tcPr>
          <w:p w14:paraId="43DB9611" w14:textId="77777777" w:rsidR="00417E28" w:rsidRPr="00144CBD" w:rsidRDefault="00417E28" w:rsidP="00C613D0">
            <w:pPr>
              <w:jc w:val="both"/>
            </w:pPr>
            <w:r>
              <w:t>CPWA</w:t>
            </w:r>
          </w:p>
        </w:tc>
        <w:tc>
          <w:tcPr>
            <w:tcW w:w="4121" w:type="pct"/>
          </w:tcPr>
          <w:p w14:paraId="43DB9612" w14:textId="77777777" w:rsidR="00417E28" w:rsidRPr="00144CBD" w:rsidRDefault="00417E28" w:rsidP="00C613D0">
            <w:pPr>
              <w:jc w:val="both"/>
            </w:pPr>
            <w:r>
              <w:t>Consumer Protection Western Australia</w:t>
            </w:r>
          </w:p>
        </w:tc>
      </w:tr>
      <w:tr w:rsidR="00260BA1" w:rsidRPr="00144CBD" w14:paraId="43DB9616" w14:textId="77777777" w:rsidTr="00C613D0">
        <w:tc>
          <w:tcPr>
            <w:tcW w:w="879" w:type="pct"/>
          </w:tcPr>
          <w:p w14:paraId="43DB9614" w14:textId="77777777" w:rsidR="00260BA1" w:rsidRDefault="00260BA1" w:rsidP="00C613D0">
            <w:pPr>
              <w:jc w:val="both"/>
            </w:pPr>
            <w:r>
              <w:t>EIAC</w:t>
            </w:r>
          </w:p>
        </w:tc>
        <w:tc>
          <w:tcPr>
            <w:tcW w:w="4121" w:type="pct"/>
          </w:tcPr>
          <w:p w14:paraId="43DB9615" w14:textId="77777777" w:rsidR="00260BA1" w:rsidRDefault="00260BA1" w:rsidP="00C613D0">
            <w:pPr>
              <w:jc w:val="both"/>
            </w:pPr>
            <w:r>
              <w:t>Education and Information Advisory Committee</w:t>
            </w:r>
          </w:p>
        </w:tc>
      </w:tr>
      <w:tr w:rsidR="00260BA1" w:rsidRPr="00144CBD" w14:paraId="43DB9619" w14:textId="77777777" w:rsidTr="00C613D0">
        <w:tc>
          <w:tcPr>
            <w:tcW w:w="879" w:type="pct"/>
          </w:tcPr>
          <w:p w14:paraId="43DB9617" w14:textId="77777777" w:rsidR="00260BA1" w:rsidRPr="00144CBD" w:rsidRDefault="00260BA1" w:rsidP="00C613D0">
            <w:pPr>
              <w:jc w:val="both"/>
            </w:pPr>
            <w:r>
              <w:t>FTOG</w:t>
            </w:r>
          </w:p>
        </w:tc>
        <w:tc>
          <w:tcPr>
            <w:tcW w:w="4121" w:type="pct"/>
          </w:tcPr>
          <w:p w14:paraId="43DB9618" w14:textId="77777777" w:rsidR="00260BA1" w:rsidRPr="00144CBD" w:rsidRDefault="00260BA1" w:rsidP="00C613D0">
            <w:pPr>
              <w:jc w:val="both"/>
            </w:pPr>
            <w:r>
              <w:t>Fair Trading Operations Group (part of CDRAC)</w:t>
            </w:r>
          </w:p>
        </w:tc>
      </w:tr>
      <w:tr w:rsidR="00260BA1" w:rsidRPr="00144CBD" w14:paraId="43DB961C" w14:textId="77777777" w:rsidTr="00C613D0">
        <w:tc>
          <w:tcPr>
            <w:tcW w:w="879" w:type="pct"/>
          </w:tcPr>
          <w:p w14:paraId="43DB961A" w14:textId="77777777" w:rsidR="00260BA1" w:rsidRPr="00144CBD" w:rsidRDefault="00260BA1" w:rsidP="00C613D0">
            <w:pPr>
              <w:jc w:val="both"/>
            </w:pPr>
            <w:r w:rsidRPr="00144CBD">
              <w:t>IGA</w:t>
            </w:r>
          </w:p>
        </w:tc>
        <w:tc>
          <w:tcPr>
            <w:tcW w:w="4121" w:type="pct"/>
          </w:tcPr>
          <w:p w14:paraId="43DB961B" w14:textId="77777777" w:rsidR="00260BA1" w:rsidRPr="00144CBD" w:rsidRDefault="00260BA1" w:rsidP="00C613D0">
            <w:pPr>
              <w:jc w:val="both"/>
            </w:pPr>
            <w:r w:rsidRPr="00144CBD">
              <w:rPr>
                <w:i/>
              </w:rPr>
              <w:t xml:space="preserve">Intergovernmental Agreement for </w:t>
            </w:r>
            <w:r>
              <w:rPr>
                <w:i/>
              </w:rPr>
              <w:t>the</w:t>
            </w:r>
            <w:r w:rsidRPr="00144CBD">
              <w:rPr>
                <w:i/>
              </w:rPr>
              <w:t xml:space="preserve"> Australian Consumer Law,</w:t>
            </w:r>
            <w:r w:rsidRPr="00144CBD">
              <w:t xml:space="preserve"> signed by members of the Council of Austra</w:t>
            </w:r>
            <w:r>
              <w:t>lian Governments on 2 July 2009</w:t>
            </w:r>
          </w:p>
        </w:tc>
      </w:tr>
      <w:tr w:rsidR="00260BA1" w:rsidRPr="00144CBD" w14:paraId="43DB961F" w14:textId="77777777" w:rsidTr="00C613D0">
        <w:tc>
          <w:tcPr>
            <w:tcW w:w="879" w:type="pct"/>
          </w:tcPr>
          <w:p w14:paraId="43DB961D" w14:textId="77777777" w:rsidR="00260BA1" w:rsidRPr="00144CBD" w:rsidRDefault="00260BA1" w:rsidP="00C613D0">
            <w:r>
              <w:t>OFT</w:t>
            </w:r>
          </w:p>
        </w:tc>
        <w:tc>
          <w:tcPr>
            <w:tcW w:w="4121" w:type="pct"/>
          </w:tcPr>
          <w:p w14:paraId="43DB961E" w14:textId="77777777" w:rsidR="00260BA1" w:rsidRPr="00144CBD" w:rsidRDefault="00260BA1" w:rsidP="00C613D0">
            <w:r>
              <w:t>Office of Fair Trading</w:t>
            </w:r>
          </w:p>
        </w:tc>
      </w:tr>
      <w:tr w:rsidR="00260BA1" w:rsidRPr="00144CBD" w14:paraId="43DB9622" w14:textId="77777777" w:rsidTr="00C613D0">
        <w:tc>
          <w:tcPr>
            <w:tcW w:w="879" w:type="pct"/>
          </w:tcPr>
          <w:p w14:paraId="43DB9620" w14:textId="77777777" w:rsidR="00260BA1" w:rsidRPr="00144CBD" w:rsidRDefault="00260BA1" w:rsidP="00C613D0">
            <w:r w:rsidRPr="00144CBD">
              <w:t>PC</w:t>
            </w:r>
          </w:p>
        </w:tc>
        <w:tc>
          <w:tcPr>
            <w:tcW w:w="4121" w:type="pct"/>
          </w:tcPr>
          <w:p w14:paraId="43DB9621" w14:textId="77777777" w:rsidR="00260BA1" w:rsidRPr="00144CBD" w:rsidRDefault="00260BA1" w:rsidP="00C613D0">
            <w:r w:rsidRPr="00144CBD">
              <w:t>Productivity Commission</w:t>
            </w:r>
          </w:p>
        </w:tc>
      </w:tr>
      <w:tr w:rsidR="00260BA1" w:rsidRPr="00144CBD" w14:paraId="43DB9625" w14:textId="77777777" w:rsidTr="00C613D0">
        <w:tc>
          <w:tcPr>
            <w:tcW w:w="879" w:type="pct"/>
          </w:tcPr>
          <w:p w14:paraId="43DB9623" w14:textId="77777777" w:rsidR="00260BA1" w:rsidRPr="00144CBD" w:rsidRDefault="00260BA1" w:rsidP="00C613D0">
            <w:r>
              <w:t>PRAC</w:t>
            </w:r>
          </w:p>
        </w:tc>
        <w:tc>
          <w:tcPr>
            <w:tcW w:w="4121" w:type="pct"/>
          </w:tcPr>
          <w:p w14:paraId="43DB9624" w14:textId="77777777" w:rsidR="00260BA1" w:rsidRPr="00144CBD" w:rsidRDefault="00260BA1" w:rsidP="00C613D0">
            <w:r>
              <w:t>Policy and Research Advisory Committee</w:t>
            </w:r>
          </w:p>
        </w:tc>
      </w:tr>
      <w:tr w:rsidR="00260BA1" w:rsidRPr="00144CBD" w14:paraId="43DB9628" w14:textId="77777777" w:rsidTr="00C613D0">
        <w:tc>
          <w:tcPr>
            <w:tcW w:w="879" w:type="pct"/>
          </w:tcPr>
          <w:p w14:paraId="43DB9626" w14:textId="77777777" w:rsidR="00260BA1" w:rsidRPr="00144CBD" w:rsidRDefault="00260BA1" w:rsidP="00C613D0">
            <w:r>
              <w:t>PSCC</w:t>
            </w:r>
          </w:p>
        </w:tc>
        <w:tc>
          <w:tcPr>
            <w:tcW w:w="4121" w:type="pct"/>
          </w:tcPr>
          <w:p w14:paraId="43DB9627" w14:textId="77777777" w:rsidR="00260BA1" w:rsidRPr="00144CBD" w:rsidRDefault="00260BA1" w:rsidP="00C613D0">
            <w:r>
              <w:t xml:space="preserve">Product Safety Consultative Committee </w:t>
            </w:r>
          </w:p>
        </w:tc>
      </w:tr>
      <w:tr w:rsidR="00260BA1" w:rsidRPr="00144CBD" w14:paraId="43DB962B" w14:textId="77777777" w:rsidTr="00C613D0">
        <w:tc>
          <w:tcPr>
            <w:tcW w:w="879" w:type="pct"/>
          </w:tcPr>
          <w:p w14:paraId="43DB9629" w14:textId="77777777" w:rsidR="00260BA1" w:rsidRPr="00E2563D" w:rsidRDefault="00260BA1" w:rsidP="00C613D0">
            <w:pPr>
              <w:jc w:val="both"/>
            </w:pPr>
            <w:r>
              <w:t>CAANZ</w:t>
            </w:r>
          </w:p>
        </w:tc>
        <w:tc>
          <w:tcPr>
            <w:tcW w:w="4121" w:type="pct"/>
          </w:tcPr>
          <w:p w14:paraId="43DB962A" w14:textId="77777777" w:rsidR="00260BA1" w:rsidRPr="00E2563D" w:rsidRDefault="00260BA1" w:rsidP="00C613D0">
            <w:pPr>
              <w:jc w:val="both"/>
            </w:pPr>
            <w:r>
              <w:t>Consumer Affairs Australia and New Zealand</w:t>
            </w:r>
          </w:p>
        </w:tc>
      </w:tr>
      <w:tr w:rsidR="00260BA1" w:rsidRPr="00144CBD" w14:paraId="43DB962E" w14:textId="77777777" w:rsidTr="00C613D0">
        <w:tc>
          <w:tcPr>
            <w:tcW w:w="879" w:type="pct"/>
          </w:tcPr>
          <w:p w14:paraId="43DB962C" w14:textId="77777777" w:rsidR="00260BA1" w:rsidRPr="00144CBD" w:rsidRDefault="00260BA1" w:rsidP="00C613D0">
            <w:r w:rsidRPr="00144CBD">
              <w:t>TPA</w:t>
            </w:r>
          </w:p>
        </w:tc>
        <w:tc>
          <w:tcPr>
            <w:tcW w:w="4121" w:type="pct"/>
          </w:tcPr>
          <w:p w14:paraId="43DB962D" w14:textId="77777777" w:rsidR="00260BA1" w:rsidRPr="006849DE" w:rsidRDefault="00260BA1" w:rsidP="00C613D0">
            <w:r w:rsidRPr="00144CBD">
              <w:rPr>
                <w:i/>
              </w:rPr>
              <w:t>Trade Practices Act 1974</w:t>
            </w:r>
            <w:r>
              <w:rPr>
                <w:i/>
              </w:rPr>
              <w:t xml:space="preserve"> </w:t>
            </w:r>
            <w:r>
              <w:t>(now the CCA)</w:t>
            </w:r>
          </w:p>
        </w:tc>
      </w:tr>
    </w:tbl>
    <w:p w14:paraId="43DB962F" w14:textId="77777777" w:rsidR="00833E4F" w:rsidRDefault="00833E4F" w:rsidP="00771263">
      <w:bookmarkStart w:id="10" w:name="_Toc294876842"/>
      <w:bookmarkEnd w:id="8"/>
      <w:bookmarkEnd w:id="9"/>
    </w:p>
    <w:p w14:paraId="43DB9630" w14:textId="77777777" w:rsidR="00833E4F" w:rsidRDefault="00833E4F" w:rsidP="00833E4F">
      <w:pPr>
        <w:rPr>
          <w:rFonts w:ascii="Arial" w:hAnsi="Arial" w:cs="Arial"/>
          <w:color w:val="00673A"/>
          <w:kern w:val="32"/>
          <w:sz w:val="36"/>
          <w:szCs w:val="36"/>
        </w:rPr>
      </w:pPr>
      <w:r>
        <w:br w:type="page"/>
      </w:r>
    </w:p>
    <w:p w14:paraId="43DB9631" w14:textId="77777777" w:rsidR="005B4836" w:rsidRDefault="00FD33E7" w:rsidP="00FD33E7">
      <w:pPr>
        <w:pStyle w:val="Heading1"/>
      </w:pPr>
      <w:bookmarkStart w:id="11" w:name="_Toc342299502"/>
      <w:bookmarkStart w:id="12" w:name="_Toc342381470"/>
      <w:r>
        <w:lastRenderedPageBreak/>
        <w:t>Executive summary</w:t>
      </w:r>
      <w:bookmarkEnd w:id="11"/>
      <w:bookmarkEnd w:id="12"/>
    </w:p>
    <w:p w14:paraId="43DB9632" w14:textId="77777777" w:rsidR="001E1508" w:rsidRDefault="000022DC" w:rsidP="001E3F05">
      <w:pPr>
        <w:pStyle w:val="Heading2"/>
      </w:pPr>
      <w:bookmarkStart w:id="13" w:name="_Toc341687816"/>
      <w:bookmarkStart w:id="14" w:name="_Toc341697089"/>
      <w:bookmarkStart w:id="15" w:name="_Toc342052618"/>
      <w:bookmarkStart w:id="16" w:name="_Toc342299160"/>
      <w:bookmarkStart w:id="17" w:name="_Toc342299503"/>
      <w:bookmarkStart w:id="18" w:name="_Toc342381471"/>
      <w:r>
        <w:t>I</w:t>
      </w:r>
      <w:r w:rsidR="00660CB1">
        <w:t>mplementation of the Australian consumer law</w:t>
      </w:r>
      <w:bookmarkEnd w:id="13"/>
      <w:bookmarkEnd w:id="14"/>
      <w:bookmarkEnd w:id="15"/>
      <w:bookmarkEnd w:id="16"/>
      <w:bookmarkEnd w:id="17"/>
      <w:bookmarkEnd w:id="18"/>
    </w:p>
    <w:p w14:paraId="43DB9633" w14:textId="5E006545" w:rsidR="00D63799" w:rsidRDefault="00B7352C" w:rsidP="001E3F05">
      <w:r>
        <w:t>Following</w:t>
      </w:r>
      <w:r w:rsidR="001E1508">
        <w:t xml:space="preserve"> the introduction of the Australian Consumer Law (ACL) on 1 January 2011</w:t>
      </w:r>
      <w:r>
        <w:t>,</w:t>
      </w:r>
      <w:r w:rsidR="000022DC">
        <w:t xml:space="preserve"> consumer</w:t>
      </w:r>
      <w:r>
        <w:t xml:space="preserve"> agencies have used formal agreements and administrative arrangements established during the policy development phase</w:t>
      </w:r>
      <w:r w:rsidR="00E21FC7">
        <w:t xml:space="preserve"> of the ACL</w:t>
      </w:r>
      <w:r>
        <w:t xml:space="preserve"> to focus closely on </w:t>
      </w:r>
      <w:r w:rsidR="000022DC">
        <w:t>implementing, strengthening and improving</w:t>
      </w:r>
      <w:r>
        <w:t xml:space="preserve"> the ACL</w:t>
      </w:r>
      <w:r w:rsidR="00BF377C">
        <w:t>.</w:t>
      </w:r>
    </w:p>
    <w:p w14:paraId="43DB9634" w14:textId="527CCDBD" w:rsidR="001E1508" w:rsidRDefault="00B7352C" w:rsidP="001E3F05">
      <w:r>
        <w:t>During the first year of implementation</w:t>
      </w:r>
      <w:r w:rsidR="001C47B7">
        <w:t>,</w:t>
      </w:r>
      <w:r>
        <w:t xml:space="preserve"> the focus for agencies was to ensure that </w:t>
      </w:r>
      <w:r w:rsidR="001C47B7">
        <w:t>stakeholders understood their rights and obligations</w:t>
      </w:r>
      <w:r w:rsidR="00433B24">
        <w:t xml:space="preserve">. </w:t>
      </w:r>
      <w:r>
        <w:t xml:space="preserve">This focus saw the </w:t>
      </w:r>
      <w:r w:rsidR="00C92B8E">
        <w:t xml:space="preserve">collaborative </w:t>
      </w:r>
      <w:r>
        <w:t>development of a</w:t>
      </w:r>
      <w:r w:rsidR="00F94AF6">
        <w:t xml:space="preserve"> wide</w:t>
      </w:r>
      <w:r>
        <w:t xml:space="preserve"> range of</w:t>
      </w:r>
      <w:r w:rsidR="00F94AF6">
        <w:t xml:space="preserve"> education materials</w:t>
      </w:r>
      <w:r>
        <w:t xml:space="preserve"> to meet both consumer and business</w:t>
      </w:r>
      <w:r w:rsidR="00C92B8E">
        <w:t xml:space="preserve"> needs</w:t>
      </w:r>
      <w:r w:rsidR="00433B24">
        <w:t xml:space="preserve">. </w:t>
      </w:r>
      <w:r w:rsidR="00A243FB">
        <w:t>These</w:t>
      </w:r>
      <w:r w:rsidR="00C92B8E">
        <w:t xml:space="preserve"> were distributed nationally to establish consistent and clear messages</w:t>
      </w:r>
      <w:r w:rsidR="00433B24">
        <w:t xml:space="preserve">. </w:t>
      </w:r>
      <w:r w:rsidR="00C92B8E">
        <w:t xml:space="preserve">This streamlined approach to the development </w:t>
      </w:r>
      <w:r w:rsidR="00E21FC7">
        <w:t xml:space="preserve">of </w:t>
      </w:r>
      <w:r w:rsidR="00C92B8E">
        <w:t>ACL education materials has avoided duplication</w:t>
      </w:r>
      <w:r w:rsidR="00533CC5">
        <w:t xml:space="preserve"> and reduced production and distribution costs. </w:t>
      </w:r>
    </w:p>
    <w:p w14:paraId="43DB9635" w14:textId="77777777" w:rsidR="00F94AF6" w:rsidRDefault="00733BF5" w:rsidP="001E3F05">
      <w:pPr>
        <w:pStyle w:val="Heading2"/>
      </w:pPr>
      <w:bookmarkStart w:id="19" w:name="_Toc341687817"/>
      <w:bookmarkStart w:id="20" w:name="_Toc341697090"/>
      <w:bookmarkStart w:id="21" w:name="_Toc342052619"/>
      <w:bookmarkStart w:id="22" w:name="_Toc342299161"/>
      <w:bookmarkStart w:id="23" w:name="_Toc342299504"/>
      <w:bookmarkStart w:id="24" w:name="_Toc342381472"/>
      <w:r>
        <w:t>A s</w:t>
      </w:r>
      <w:r w:rsidR="00660CB1">
        <w:t>trengthen</w:t>
      </w:r>
      <w:r>
        <w:t>ed</w:t>
      </w:r>
      <w:r w:rsidR="00660CB1">
        <w:t xml:space="preserve"> consumer protection framework</w:t>
      </w:r>
      <w:bookmarkEnd w:id="19"/>
      <w:bookmarkEnd w:id="20"/>
      <w:bookmarkEnd w:id="21"/>
      <w:bookmarkEnd w:id="22"/>
      <w:bookmarkEnd w:id="23"/>
      <w:bookmarkEnd w:id="24"/>
      <w:r w:rsidR="00F94AF6">
        <w:t xml:space="preserve"> </w:t>
      </w:r>
    </w:p>
    <w:p w14:paraId="43DB9636" w14:textId="6FF8B0E9" w:rsidR="005B4836" w:rsidRDefault="002B030F" w:rsidP="001E3F05">
      <w:r>
        <w:t>C</w:t>
      </w:r>
      <w:r w:rsidR="005B4836">
        <w:t>onsumer</w:t>
      </w:r>
      <w:r w:rsidR="00533CC5">
        <w:t xml:space="preserve"> </w:t>
      </w:r>
      <w:r w:rsidR="005B4836">
        <w:t xml:space="preserve">agencies have continued to implement and </w:t>
      </w:r>
      <w:r w:rsidR="00533CC5">
        <w:t xml:space="preserve">demonstrate the strength of </w:t>
      </w:r>
      <w:r w:rsidR="005B4836">
        <w:t>Australia’s consumer protection framework</w:t>
      </w:r>
      <w:r w:rsidR="00533CC5">
        <w:t xml:space="preserve"> through</w:t>
      </w:r>
      <w:r w:rsidR="00E21FC7">
        <w:t xml:space="preserve"> c</w:t>
      </w:r>
      <w:r w:rsidR="005B4836">
        <w:t xml:space="preserve">ollaborative partnerships </w:t>
      </w:r>
      <w:r w:rsidR="00533CC5">
        <w:t xml:space="preserve">established </w:t>
      </w:r>
      <w:r w:rsidR="005B4836">
        <w:t xml:space="preserve">to deliver </w:t>
      </w:r>
      <w:r>
        <w:t xml:space="preserve">on </w:t>
      </w:r>
      <w:r w:rsidR="005B4836">
        <w:t>strategic goals</w:t>
      </w:r>
      <w:r w:rsidR="00433B24">
        <w:t xml:space="preserve">. </w:t>
      </w:r>
      <w:r w:rsidR="00A912A3">
        <w:t xml:space="preserve">This work </w:t>
      </w:r>
      <w:r w:rsidR="005B4836">
        <w:t xml:space="preserve">included using the Australian Consumer Survey to identify business and consumer awareness of consumer laws, the facilitation of minor amendments to the ACL, and consideration of </w:t>
      </w:r>
      <w:r w:rsidR="00E21FC7">
        <w:t xml:space="preserve">specific </w:t>
      </w:r>
      <w:r w:rsidR="00533CC5">
        <w:t xml:space="preserve">emerging </w:t>
      </w:r>
      <w:r w:rsidR="005B4836">
        <w:t xml:space="preserve">consumer </w:t>
      </w:r>
      <w:r w:rsidR="00E21FC7">
        <w:t>protection matters</w:t>
      </w:r>
      <w:r w:rsidR="00533CC5">
        <w:t xml:space="preserve"> </w:t>
      </w:r>
      <w:r w:rsidR="00F04C8D">
        <w:t xml:space="preserve">to support affected </w:t>
      </w:r>
      <w:r w:rsidR="00533CC5">
        <w:t>Australians</w:t>
      </w:r>
      <w:r w:rsidR="005B4836">
        <w:t>.</w:t>
      </w:r>
    </w:p>
    <w:p w14:paraId="43DB9637" w14:textId="77777777" w:rsidR="00D63799" w:rsidRDefault="00733BF5" w:rsidP="001E3F05">
      <w:pPr>
        <w:pStyle w:val="Heading2"/>
      </w:pPr>
      <w:bookmarkStart w:id="25" w:name="_Toc342052620"/>
      <w:bookmarkStart w:id="26" w:name="_Toc342299162"/>
      <w:bookmarkStart w:id="27" w:name="_Toc341687818"/>
      <w:bookmarkStart w:id="28" w:name="_Toc341697091"/>
      <w:bookmarkStart w:id="29" w:name="_Toc342299505"/>
      <w:bookmarkStart w:id="30" w:name="_Toc342381473"/>
      <w:r>
        <w:t>Focussed e</w:t>
      </w:r>
      <w:r w:rsidR="00D63799">
        <w:t>ducation and information</w:t>
      </w:r>
      <w:bookmarkEnd w:id="25"/>
      <w:bookmarkEnd w:id="26"/>
      <w:bookmarkEnd w:id="27"/>
      <w:bookmarkEnd w:id="28"/>
      <w:bookmarkEnd w:id="29"/>
      <w:bookmarkEnd w:id="30"/>
    </w:p>
    <w:p w14:paraId="43DB9638" w14:textId="6B361794" w:rsidR="005B4836" w:rsidRDefault="00A912A3" w:rsidP="001E3F05">
      <w:r>
        <w:t>C</w:t>
      </w:r>
      <w:r w:rsidR="005B4836">
        <w:t>onsumer agencies have</w:t>
      </w:r>
      <w:r>
        <w:t xml:space="preserve"> also</w:t>
      </w:r>
      <w:r w:rsidR="005B4836">
        <w:t xml:space="preserve"> continued to improve consumer understanding of the ACL, including by supporting and promoting the compliance activities of </w:t>
      </w:r>
      <w:r w:rsidR="002B030F">
        <w:t>consumer</w:t>
      </w:r>
      <w:r w:rsidR="005B4836">
        <w:t xml:space="preserve"> agencies and by improving consumers’ understanding of their rights</w:t>
      </w:r>
      <w:r w:rsidR="00433B24">
        <w:t xml:space="preserve">. </w:t>
      </w:r>
      <w:r w:rsidR="005B4836">
        <w:t xml:space="preserve">Key communications strategies were delivered, including in relation to consumer guarantees, product safety, travelling conmen and </w:t>
      </w:r>
      <w:r w:rsidR="005B4836" w:rsidRPr="0006364B">
        <w:t>unfair trading practices in regional and remote Indigenous communities</w:t>
      </w:r>
      <w:r w:rsidR="005B4836">
        <w:t>.</w:t>
      </w:r>
    </w:p>
    <w:p w14:paraId="43DB9639" w14:textId="77777777" w:rsidR="00D63799" w:rsidRDefault="002B030F" w:rsidP="001E3F05">
      <w:pPr>
        <w:pStyle w:val="Heading2"/>
      </w:pPr>
      <w:bookmarkStart w:id="31" w:name="_Toc341687819"/>
      <w:bookmarkStart w:id="32" w:name="_Toc341697092"/>
      <w:bookmarkStart w:id="33" w:name="_Toc342052621"/>
      <w:bookmarkStart w:id="34" w:name="_Toc342299163"/>
      <w:bookmarkStart w:id="35" w:name="_Toc342299506"/>
      <w:bookmarkStart w:id="36" w:name="_Toc342381474"/>
      <w:r>
        <w:t>T</w:t>
      </w:r>
      <w:r w:rsidR="00D63799">
        <w:t>argeted compliance and dispute resolution</w:t>
      </w:r>
      <w:bookmarkEnd w:id="31"/>
      <w:bookmarkEnd w:id="32"/>
      <w:bookmarkEnd w:id="33"/>
      <w:bookmarkEnd w:id="34"/>
      <w:bookmarkEnd w:id="35"/>
      <w:bookmarkEnd w:id="36"/>
    </w:p>
    <w:p w14:paraId="43DB963A" w14:textId="72FB1C35" w:rsidR="005B4836" w:rsidRDefault="00A912A3" w:rsidP="001E3F05">
      <w:r>
        <w:t>In addition, c</w:t>
      </w:r>
      <w:r w:rsidR="005B4836">
        <w:t>onsumer agencies provided coordinated action on a range of consumer protection matters, including by providing timely support for consumers and ensuring compliance with the ACL</w:t>
      </w:r>
      <w:r w:rsidR="00433B24">
        <w:t xml:space="preserve">. </w:t>
      </w:r>
      <w:r w:rsidR="005B4836">
        <w:t>A range of compliance projects</w:t>
      </w:r>
      <w:r>
        <w:t xml:space="preserve"> and</w:t>
      </w:r>
      <w:r w:rsidR="005B4836">
        <w:t xml:space="preserve"> targeted campaigns were delivered nationally, including in relation to unfair contract terms, consumer guarantees, environmental claims, and trader compliance in</w:t>
      </w:r>
      <w:r w:rsidR="002B030F">
        <w:t xml:space="preserve"> regional and</w:t>
      </w:r>
      <w:r w:rsidR="005B4836">
        <w:t xml:space="preserve"> remote</w:t>
      </w:r>
      <w:r w:rsidR="002B030F">
        <w:t xml:space="preserve"> Indigenous</w:t>
      </w:r>
      <w:r w:rsidR="005B4836">
        <w:t xml:space="preserve"> communities.</w:t>
      </w:r>
    </w:p>
    <w:p w14:paraId="43DB963B" w14:textId="77777777" w:rsidR="00D63799" w:rsidRDefault="00733BF5" w:rsidP="001E3F05">
      <w:pPr>
        <w:pStyle w:val="Heading2"/>
      </w:pPr>
      <w:bookmarkStart w:id="37" w:name="_Toc341687820"/>
      <w:bookmarkStart w:id="38" w:name="_Toc341697093"/>
      <w:bookmarkStart w:id="39" w:name="_Toc342052622"/>
      <w:bookmarkStart w:id="40" w:name="_Toc342299164"/>
      <w:bookmarkStart w:id="41" w:name="_Toc342299507"/>
      <w:bookmarkStart w:id="42" w:name="_Toc342381475"/>
      <w:r>
        <w:t>A n</w:t>
      </w:r>
      <w:r w:rsidR="00D63799">
        <w:t>ational product safety</w:t>
      </w:r>
      <w:bookmarkEnd w:id="37"/>
      <w:bookmarkEnd w:id="38"/>
      <w:r w:rsidR="00D63799">
        <w:t xml:space="preserve"> </w:t>
      </w:r>
      <w:r>
        <w:t>approach</w:t>
      </w:r>
      <w:bookmarkEnd w:id="39"/>
      <w:bookmarkEnd w:id="40"/>
      <w:bookmarkEnd w:id="41"/>
      <w:bookmarkEnd w:id="42"/>
    </w:p>
    <w:p w14:paraId="43DB963C" w14:textId="73B87D47" w:rsidR="00FD33E7" w:rsidRDefault="00A243FB" w:rsidP="005902B1">
      <w:r>
        <w:t>C</w:t>
      </w:r>
      <w:r w:rsidR="002B030F">
        <w:t>onsumer</w:t>
      </w:r>
      <w:r w:rsidR="005B4836">
        <w:t xml:space="preserve"> agencies continued to promote, maintain and achieve compliance with Australia’s product safety system</w:t>
      </w:r>
      <w:r w:rsidR="00433B24">
        <w:t xml:space="preserve">. </w:t>
      </w:r>
      <w:r w:rsidR="005B4836">
        <w:t>Key work included educating traders and consumers on the safe supply, purchase and use of regulated products</w:t>
      </w:r>
      <w:r w:rsidR="00433B24">
        <w:t xml:space="preserve">. </w:t>
      </w:r>
      <w:r w:rsidR="005B4836">
        <w:t>Compliance activities included targeted campaigns, such as the 2011 Christmas toy survey</w:t>
      </w:r>
      <w:r w:rsidR="002B030F">
        <w:t xml:space="preserve"> to complement</w:t>
      </w:r>
      <w:r w:rsidR="00E21FC7">
        <w:t xml:space="preserve"> </w:t>
      </w:r>
      <w:r w:rsidR="002B030F">
        <w:t>ongoing</w:t>
      </w:r>
      <w:r w:rsidR="005B4836">
        <w:t xml:space="preserve"> monitor</w:t>
      </w:r>
      <w:r w:rsidR="00E21FC7">
        <w:t>ing</w:t>
      </w:r>
      <w:r w:rsidR="005B4836">
        <w:t xml:space="preserve"> and assess</w:t>
      </w:r>
      <w:r w:rsidR="002B030F">
        <w:t>ment</w:t>
      </w:r>
      <w:r w:rsidR="00E21FC7">
        <w:t xml:space="preserve"> of</w:t>
      </w:r>
      <w:r w:rsidR="005B4836">
        <w:t xml:space="preserve"> emerging hazards.</w:t>
      </w:r>
    </w:p>
    <w:p w14:paraId="5B50C3EA" w14:textId="77777777" w:rsidR="004B2A81" w:rsidRDefault="004B2A81" w:rsidP="00827252">
      <w:pPr>
        <w:pStyle w:val="Heading1"/>
        <w:sectPr w:rsidR="004B2A81" w:rsidSect="00F8272F">
          <w:footerReference w:type="default" r:id="rId22"/>
          <w:pgSz w:w="11906" w:h="16838" w:code="9"/>
          <w:pgMar w:top="1418" w:right="1418" w:bottom="1418" w:left="1418" w:header="709" w:footer="709" w:gutter="0"/>
          <w:pgNumType w:fmt="lowerRoman"/>
          <w:cols w:space="708"/>
          <w:docGrid w:linePitch="360"/>
        </w:sectPr>
      </w:pPr>
      <w:bookmarkStart w:id="43" w:name="_Toc342299508"/>
    </w:p>
    <w:p w14:paraId="43DB963D" w14:textId="1961E311" w:rsidR="00827252" w:rsidRDefault="00827252" w:rsidP="00827252">
      <w:pPr>
        <w:pStyle w:val="Heading1"/>
      </w:pPr>
      <w:bookmarkStart w:id="44" w:name="_Toc342381476"/>
      <w:r>
        <w:lastRenderedPageBreak/>
        <w:t>Introduction</w:t>
      </w:r>
      <w:bookmarkEnd w:id="43"/>
      <w:bookmarkEnd w:id="44"/>
    </w:p>
    <w:p w14:paraId="43DB963E" w14:textId="27643E3C" w:rsidR="00B96AA4" w:rsidRDefault="00B96AA4" w:rsidP="005F2657">
      <w:bookmarkStart w:id="45" w:name="_Toc294876844"/>
      <w:r>
        <w:t>The Australian Consumer Law (ACL) commenced on 1 January 2011</w:t>
      </w:r>
      <w:r w:rsidR="00433B24">
        <w:t xml:space="preserve">. </w:t>
      </w:r>
      <w:r>
        <w:t>The ACL harmonise</w:t>
      </w:r>
      <w:r w:rsidR="009A522B">
        <w:t>d</w:t>
      </w:r>
      <w:r>
        <w:t xml:space="preserve"> the consumer protection provisions of the </w:t>
      </w:r>
      <w:r w:rsidRPr="00FB2B3C">
        <w:rPr>
          <w:i/>
        </w:rPr>
        <w:t>Trade Practices Act 1974</w:t>
      </w:r>
      <w:r>
        <w:t xml:space="preserve"> (TPA) and</w:t>
      </w:r>
      <w:r w:rsidR="009A522B">
        <w:t xml:space="preserve"> previous</w:t>
      </w:r>
      <w:r>
        <w:t xml:space="preserve"> </w:t>
      </w:r>
      <w:r w:rsidR="00C504F5">
        <w:t>s</w:t>
      </w:r>
      <w:r>
        <w:t xml:space="preserve">tate and </w:t>
      </w:r>
      <w:r w:rsidR="00C504F5">
        <w:t>t</w:t>
      </w:r>
      <w:r>
        <w:t>erritory fair trading laws</w:t>
      </w:r>
      <w:r w:rsidR="00433B24">
        <w:t xml:space="preserve">. </w:t>
      </w:r>
      <w:r>
        <w:t xml:space="preserve">The full text of the ACL is set out in Schedule 2 of the </w:t>
      </w:r>
      <w:r>
        <w:rPr>
          <w:i/>
        </w:rPr>
        <w:t xml:space="preserve">Competition and Consumer Act 2010 </w:t>
      </w:r>
      <w:r>
        <w:t>(the new name of the TPA), which is the principal consumer protection law in Australia</w:t>
      </w:r>
      <w:r w:rsidR="00433B24">
        <w:t xml:space="preserve">. </w:t>
      </w:r>
      <w:r>
        <w:t>The ACL includes:</w:t>
      </w:r>
    </w:p>
    <w:p w14:paraId="43DB963F" w14:textId="77777777" w:rsidR="00B96AA4" w:rsidRDefault="00B96AA4" w:rsidP="00B96AA4">
      <w:pPr>
        <w:pStyle w:val="Bullet"/>
        <w:numPr>
          <w:ilvl w:val="0"/>
          <w:numId w:val="37"/>
        </w:numPr>
        <w:spacing w:line="240" w:lineRule="auto"/>
      </w:pPr>
      <w:r>
        <w:t xml:space="preserve">core consumer protection </w:t>
      </w:r>
      <w:r w:rsidRPr="004B61C7">
        <w:t>provision</w:t>
      </w:r>
      <w:r>
        <w:t xml:space="preserve">s prohibiting misleading or deceptive conduct, </w:t>
      </w:r>
      <w:r w:rsidRPr="004B61C7">
        <w:t>unconscionable co</w:t>
      </w:r>
      <w:r>
        <w:t>nduct and unfair contract terms;</w:t>
      </w:r>
    </w:p>
    <w:p w14:paraId="43DB9640" w14:textId="77777777" w:rsidR="00B96AA4" w:rsidRDefault="00B96AA4" w:rsidP="00B96AA4">
      <w:pPr>
        <w:pStyle w:val="Bullet"/>
        <w:numPr>
          <w:ilvl w:val="0"/>
          <w:numId w:val="37"/>
        </w:numPr>
        <w:spacing w:line="240" w:lineRule="auto"/>
      </w:pPr>
      <w:r>
        <w:t>specific prohibitions or regulation of unfair practices</w:t>
      </w:r>
      <w:r w:rsidR="009A522B">
        <w:t xml:space="preserve"> based on best practice in </w:t>
      </w:r>
      <w:r w:rsidR="00C504F5">
        <w:t>s</w:t>
      </w:r>
      <w:r w:rsidR="009A522B">
        <w:t xml:space="preserve">tate and </w:t>
      </w:r>
      <w:r w:rsidR="00C504F5">
        <w:t>t</w:t>
      </w:r>
      <w:r w:rsidR="009A522B">
        <w:t>erritory consumer protection laws</w:t>
      </w:r>
      <w:r>
        <w:t>, including pyramid selling, unsolicited supplies of goods and services, component pricing and the provision of bills and receipts;</w:t>
      </w:r>
    </w:p>
    <w:p w14:paraId="43DB9641" w14:textId="161B7BA8" w:rsidR="00B96AA4" w:rsidRDefault="00B96AA4" w:rsidP="00B96AA4">
      <w:pPr>
        <w:pStyle w:val="Bullet"/>
        <w:numPr>
          <w:ilvl w:val="0"/>
          <w:numId w:val="37"/>
        </w:numPr>
        <w:spacing w:line="240" w:lineRule="auto"/>
      </w:pPr>
      <w:r>
        <w:t>a</w:t>
      </w:r>
      <w:r w:rsidR="00B75F26">
        <w:t>n integrated and harmonised</w:t>
      </w:r>
      <w:r>
        <w:t xml:space="preserve"> legal framework for unsolicited selling, including door</w:t>
      </w:r>
      <w:r w:rsidR="00433B24">
        <w:noBreakHyphen/>
      </w:r>
      <w:r>
        <w:t>to</w:t>
      </w:r>
      <w:r w:rsidR="00433B24">
        <w:noBreakHyphen/>
      </w:r>
      <w:r>
        <w:t xml:space="preserve">door trading and telephone sales; </w:t>
      </w:r>
    </w:p>
    <w:p w14:paraId="43DB9642" w14:textId="77777777" w:rsidR="00B96AA4" w:rsidRDefault="00B96AA4" w:rsidP="00B96AA4">
      <w:pPr>
        <w:pStyle w:val="Bullet"/>
        <w:numPr>
          <w:ilvl w:val="0"/>
          <w:numId w:val="37"/>
        </w:numPr>
        <w:spacing w:line="240" w:lineRule="auto"/>
      </w:pPr>
      <w:r w:rsidRPr="004B61C7">
        <w:t>a national law for consumer product safety</w:t>
      </w:r>
      <w:r>
        <w:t xml:space="preserve">; </w:t>
      </w:r>
    </w:p>
    <w:p w14:paraId="43DB9643" w14:textId="77777777" w:rsidR="00B96AA4" w:rsidRDefault="00B96AA4" w:rsidP="00B96AA4">
      <w:pPr>
        <w:pStyle w:val="Bullet"/>
        <w:numPr>
          <w:ilvl w:val="0"/>
          <w:numId w:val="37"/>
        </w:numPr>
        <w:spacing w:line="240" w:lineRule="auto"/>
      </w:pPr>
      <w:r w:rsidRPr="004B61C7">
        <w:t xml:space="preserve">a </w:t>
      </w:r>
      <w:r>
        <w:t xml:space="preserve">system of </w:t>
      </w:r>
      <w:r w:rsidR="009F2305">
        <w:t>statutory consumer guarantees</w:t>
      </w:r>
      <w:r>
        <w:t xml:space="preserve">; and </w:t>
      </w:r>
    </w:p>
    <w:p w14:paraId="43DB9644" w14:textId="77777777" w:rsidR="00B96AA4" w:rsidRDefault="00B96AA4" w:rsidP="00B96AA4">
      <w:pPr>
        <w:pStyle w:val="Bullet"/>
        <w:numPr>
          <w:ilvl w:val="0"/>
          <w:numId w:val="37"/>
        </w:numPr>
        <w:spacing w:line="240" w:lineRule="auto"/>
      </w:pPr>
      <w:r>
        <w:t>strengthened enforcement and consumer redress provisions.</w:t>
      </w:r>
    </w:p>
    <w:p w14:paraId="43DB9645" w14:textId="58D0B640" w:rsidR="00B96AA4" w:rsidRDefault="00B96AA4" w:rsidP="005F2657">
      <w:r w:rsidRPr="00C613D0">
        <w:t>The ACL is a single</w:t>
      </w:r>
      <w:r w:rsidR="00B75F26">
        <w:t>, integrated and harmonised</w:t>
      </w:r>
      <w:r w:rsidRPr="00C613D0">
        <w:t xml:space="preserve"> consumer law, which replaces approximately 900 substantive provisions of at least 20 national, state and territory Acts</w:t>
      </w:r>
      <w:r w:rsidR="00433B24">
        <w:t xml:space="preserve">. </w:t>
      </w:r>
      <w:r w:rsidRPr="004B61C7">
        <w:t>It mean</w:t>
      </w:r>
      <w:r>
        <w:t>s</w:t>
      </w:r>
      <w:r w:rsidRPr="004B61C7">
        <w:t xml:space="preserve"> that all consumers</w:t>
      </w:r>
      <w:r>
        <w:t xml:space="preserve"> in Australia </w:t>
      </w:r>
      <w:r w:rsidRPr="004B61C7">
        <w:t>have the same rights and all businesses</w:t>
      </w:r>
      <w:r>
        <w:t xml:space="preserve"> </w:t>
      </w:r>
      <w:r w:rsidRPr="004B61C7">
        <w:t>have the same obligations</w:t>
      </w:r>
      <w:r w:rsidR="009F2305">
        <w:t>, irrespective of the state or t</w:t>
      </w:r>
      <w:r>
        <w:t>erritory in which they engage in transactions</w:t>
      </w:r>
      <w:r w:rsidR="00433B24">
        <w:t xml:space="preserve">. </w:t>
      </w:r>
      <w:r w:rsidR="009F2305">
        <w:t>F</w:t>
      </w:r>
      <w:r>
        <w:t xml:space="preserve">urther information about the ACL is available at </w:t>
      </w:r>
      <w:r w:rsidRPr="00597BB8">
        <w:t>www.consumerlaw.gov.au.</w:t>
      </w:r>
    </w:p>
    <w:p w14:paraId="43DB9646" w14:textId="77777777" w:rsidR="00B96AA4" w:rsidRDefault="00D005C9" w:rsidP="00D005C9">
      <w:pPr>
        <w:pStyle w:val="Heading2"/>
      </w:pPr>
      <w:bookmarkStart w:id="46" w:name="_Toc342299509"/>
      <w:bookmarkStart w:id="47" w:name="_Toc342381477"/>
      <w:bookmarkEnd w:id="45"/>
      <w:r>
        <w:t>Purpose of this report</w:t>
      </w:r>
      <w:bookmarkEnd w:id="46"/>
      <w:bookmarkEnd w:id="47"/>
    </w:p>
    <w:p w14:paraId="43DB9647" w14:textId="67C0A2E8" w:rsidR="00B75F26" w:rsidRDefault="00D005C9" w:rsidP="00827252">
      <w:r>
        <w:t>This report provide</w:t>
      </w:r>
      <w:r w:rsidR="00F1341E">
        <w:t>s an update on the work of the Commonwealth and the</w:t>
      </w:r>
      <w:r>
        <w:t xml:space="preserve"> </w:t>
      </w:r>
      <w:r w:rsidR="00F1341E">
        <w:t>s</w:t>
      </w:r>
      <w:r>
        <w:t>tate</w:t>
      </w:r>
      <w:r w:rsidR="00F1341E">
        <w:t>s and t</w:t>
      </w:r>
      <w:r>
        <w:t xml:space="preserve">erritories in implementing, </w:t>
      </w:r>
      <w:r w:rsidR="0056744E">
        <w:t>strengthening and improving</w:t>
      </w:r>
      <w:r>
        <w:t xml:space="preserve"> the ACL</w:t>
      </w:r>
      <w:r w:rsidR="00433B24">
        <w:t xml:space="preserve">. </w:t>
      </w:r>
      <w:r w:rsidR="00F1341E">
        <w:t>This report highlights the</w:t>
      </w:r>
      <w:r w:rsidR="00A349D1">
        <w:t xml:space="preserve"> </w:t>
      </w:r>
      <w:r w:rsidR="00FA3EBA">
        <w:t>enhanced coordination</w:t>
      </w:r>
      <w:r w:rsidR="00A349D1">
        <w:t xml:space="preserve"> between consumer agencies</w:t>
      </w:r>
      <w:r w:rsidR="00FA3EBA">
        <w:t xml:space="preserve"> and consistent approaches to consumer issues,</w:t>
      </w:r>
      <w:r w:rsidR="002C3FCA">
        <w:t xml:space="preserve"> in accordance with </w:t>
      </w:r>
      <w:r w:rsidR="008F618C">
        <w:t>the National Consumer Policy Objective</w:t>
      </w:r>
      <w:r w:rsidR="00B75F26">
        <w:t>:</w:t>
      </w:r>
    </w:p>
    <w:p w14:paraId="43DB9648" w14:textId="77777777" w:rsidR="00B75F26" w:rsidRDefault="00B75F26" w:rsidP="001E3F05">
      <w:pPr>
        <w:pStyle w:val="Quote"/>
      </w:pPr>
      <w:r w:rsidRPr="0024783B">
        <w:t>[t]o improve consumer wellbeing through consumer empowerment and protection, fostering effective competition and enabling confident participation of consumers in markets in which both consumers and suppliers trade fairly.</w:t>
      </w:r>
      <w:r w:rsidRPr="0024783B">
        <w:rPr>
          <w:rStyle w:val="FootnoteReference"/>
        </w:rPr>
        <w:footnoteReference w:id="1"/>
      </w:r>
    </w:p>
    <w:p w14:paraId="43DB9649" w14:textId="77777777" w:rsidR="008F618C" w:rsidRDefault="00B75F26" w:rsidP="00827252">
      <w:r>
        <w:t>F</w:t>
      </w:r>
      <w:r w:rsidR="008F618C">
        <w:t xml:space="preserve">urther information on the National Consumer Policy Objective, the Intergovernmental Agreement for the </w:t>
      </w:r>
      <w:r w:rsidR="00122EEC">
        <w:t xml:space="preserve">Australian Consumer </w:t>
      </w:r>
      <w:r w:rsidR="008F618C">
        <w:t>L</w:t>
      </w:r>
      <w:r w:rsidR="00122EEC">
        <w:t>aw</w:t>
      </w:r>
      <w:r w:rsidR="002866BC">
        <w:t xml:space="preserve"> (IGA)</w:t>
      </w:r>
      <w:r w:rsidR="00122EEC">
        <w:t xml:space="preserve"> and</w:t>
      </w:r>
      <w:r w:rsidR="008F618C">
        <w:t xml:space="preserve"> Australia’s consumer agencies can be found at Appendix item 1</w:t>
      </w:r>
      <w:r w:rsidR="002C3FCA">
        <w:t>.</w:t>
      </w:r>
      <w:r w:rsidR="00D005C9">
        <w:t xml:space="preserve"> </w:t>
      </w:r>
    </w:p>
    <w:p w14:paraId="43DB964A" w14:textId="04EC38B7" w:rsidR="00B96AA4" w:rsidRDefault="00D005C9" w:rsidP="00827252">
      <w:r>
        <w:lastRenderedPageBreak/>
        <w:t>T</w:t>
      </w:r>
      <w:r w:rsidR="009544F1">
        <w:t>his report draws on the work</w:t>
      </w:r>
      <w:r>
        <w:t xml:space="preserve"> </w:t>
      </w:r>
      <w:r w:rsidR="009544F1">
        <w:t>engaged in by each jurisdiction through the collaborative leadership model for the ACL</w:t>
      </w:r>
      <w:r w:rsidR="000B60C7">
        <w:t xml:space="preserve"> as outlined in Figure </w:t>
      </w:r>
      <w:r w:rsidR="00FA3EBA">
        <w:t>1</w:t>
      </w:r>
      <w:r w:rsidR="00433B24">
        <w:t xml:space="preserve">. </w:t>
      </w:r>
      <w:r w:rsidR="009544F1">
        <w:t>In 2011</w:t>
      </w:r>
      <w:r w:rsidR="00433B24">
        <w:noBreakHyphen/>
      </w:r>
      <w:r w:rsidR="009544F1">
        <w:t>12</w:t>
      </w:r>
      <w:r w:rsidR="004371E2">
        <w:t>,</w:t>
      </w:r>
      <w:r w:rsidR="009544F1">
        <w:t xml:space="preserve"> this model has been further</w:t>
      </w:r>
      <w:r w:rsidR="00D8281B">
        <w:t xml:space="preserve"> strengthened and consolidated</w:t>
      </w:r>
      <w:r w:rsidR="009544F1">
        <w:t xml:space="preserve"> through regular meetings between Commonwealth, </w:t>
      </w:r>
      <w:r w:rsidR="002866BC">
        <w:t>s</w:t>
      </w:r>
      <w:r w:rsidR="009544F1">
        <w:t xml:space="preserve">tate and </w:t>
      </w:r>
      <w:r w:rsidR="002866BC">
        <w:t>t</w:t>
      </w:r>
      <w:r w:rsidR="009544F1">
        <w:t xml:space="preserve">erritory policy officials including through Consumer Affairs Australia and New Zealand (CAANZ) and its advisory committees. </w:t>
      </w:r>
    </w:p>
    <w:p w14:paraId="43DB964B" w14:textId="7F5358F3" w:rsidR="00B96AA4" w:rsidRDefault="009544F1" w:rsidP="00827252">
      <w:r>
        <w:t xml:space="preserve">This report will begin by outlining </w:t>
      </w:r>
      <w:r w:rsidR="009B2572">
        <w:t>the cooperative decision</w:t>
      </w:r>
      <w:r w:rsidR="00433B24">
        <w:noBreakHyphen/>
      </w:r>
      <w:r w:rsidR="009B2572">
        <w:t>making approach</w:t>
      </w:r>
      <w:r>
        <w:t xml:space="preserve"> before providing an update of progress on consumer policy and research, education and information, compliance and dispute resolution</w:t>
      </w:r>
      <w:r w:rsidR="008F618C">
        <w:t>, and product safety</w:t>
      </w:r>
      <w:r w:rsidR="00433B24">
        <w:t xml:space="preserve">. </w:t>
      </w:r>
      <w:r w:rsidR="000B60C7">
        <w:t xml:space="preserve">To </w:t>
      </w:r>
      <w:r w:rsidR="009B2572">
        <w:t xml:space="preserve">demonstrate </w:t>
      </w:r>
      <w:r w:rsidR="000B60C7">
        <w:t xml:space="preserve">the collaborative leadership model, the report will provide selected case studies </w:t>
      </w:r>
      <w:r w:rsidR="00FA3EBA">
        <w:t xml:space="preserve">to highlight the achievements of </w:t>
      </w:r>
      <w:r w:rsidR="000B60C7">
        <w:t>key work that has been completed in 2011</w:t>
      </w:r>
      <w:r w:rsidR="00433B24">
        <w:noBreakHyphen/>
      </w:r>
      <w:r w:rsidR="000B60C7">
        <w:t>12</w:t>
      </w:r>
      <w:r w:rsidR="00433B24">
        <w:t xml:space="preserve">. </w:t>
      </w:r>
    </w:p>
    <w:p w14:paraId="43DB964C" w14:textId="7A8476DC" w:rsidR="00C613D0" w:rsidRDefault="00C613D0">
      <w:pPr>
        <w:pStyle w:val="Heading2"/>
      </w:pPr>
      <w:bookmarkStart w:id="48" w:name="_Toc331681641"/>
      <w:bookmarkStart w:id="49" w:name="_Toc294876845"/>
      <w:bookmarkStart w:id="50" w:name="_Toc342299510"/>
      <w:bookmarkStart w:id="51" w:name="_Toc342381478"/>
      <w:bookmarkEnd w:id="48"/>
      <w:bookmarkEnd w:id="10"/>
      <w:r>
        <w:t>A cooperative decision</w:t>
      </w:r>
      <w:r w:rsidR="00433B24">
        <w:noBreakHyphen/>
      </w:r>
      <w:r>
        <w:t>making approach</w:t>
      </w:r>
      <w:bookmarkEnd w:id="49"/>
      <w:r w:rsidR="0024748B">
        <w:rPr>
          <w:rStyle w:val="FootnoteReference"/>
        </w:rPr>
        <w:footnoteReference w:id="2"/>
      </w:r>
      <w:bookmarkEnd w:id="50"/>
      <w:bookmarkEnd w:id="51"/>
    </w:p>
    <w:p w14:paraId="43DB964D" w14:textId="77777777" w:rsidR="00C127CC" w:rsidRPr="00C64467" w:rsidRDefault="00FA3EBA" w:rsidP="00C64467">
      <w:r>
        <w:t>T</w:t>
      </w:r>
      <w:r w:rsidR="00C64467" w:rsidRPr="00C64467">
        <w:t>he COAG Legislative and Governance Forum on Consumer Affairs</w:t>
      </w:r>
      <w:r w:rsidR="00322D73">
        <w:t xml:space="preserve"> (CAF)</w:t>
      </w:r>
      <w:r w:rsidR="00C64467" w:rsidRPr="00C64467">
        <w:t xml:space="preserve"> has been establish</w:t>
      </w:r>
      <w:r w:rsidR="002866BC">
        <w:t>ed to administer Commonwealth, s</w:t>
      </w:r>
      <w:r w:rsidR="00C64467" w:rsidRPr="00C64467">
        <w:t xml:space="preserve">tate and </w:t>
      </w:r>
      <w:r w:rsidR="002866BC">
        <w:t>t</w:t>
      </w:r>
      <w:r w:rsidR="00C64467" w:rsidRPr="00C64467">
        <w:t>erritory Consumer Affairs Ministers’ collective</w:t>
      </w:r>
      <w:r w:rsidR="00C127CC" w:rsidRPr="00C64467">
        <w:t xml:space="preserve"> responsibilities under </w:t>
      </w:r>
      <w:r w:rsidR="00C64467" w:rsidRPr="00C64467">
        <w:t xml:space="preserve">the </w:t>
      </w:r>
      <w:r w:rsidR="002866BC">
        <w:t>IGA.</w:t>
      </w:r>
    </w:p>
    <w:p w14:paraId="43DB964E" w14:textId="35111609" w:rsidR="00C613D0" w:rsidRDefault="00C613D0" w:rsidP="00C613D0">
      <w:r>
        <w:t xml:space="preserve">CAANZ is the principal national forum </w:t>
      </w:r>
      <w:r w:rsidR="009B5F96">
        <w:t>for</w:t>
      </w:r>
      <w:r>
        <w:t xml:space="preserve"> day</w:t>
      </w:r>
      <w:r w:rsidR="00433B24">
        <w:noBreakHyphen/>
      </w:r>
      <w:r>
        <w:t>to</w:t>
      </w:r>
      <w:r w:rsidR="00433B24">
        <w:noBreakHyphen/>
      </w:r>
      <w:r>
        <w:t xml:space="preserve">day policy and enforcement </w:t>
      </w:r>
      <w:r w:rsidR="00FA3EBA">
        <w:t xml:space="preserve">cooperation </w:t>
      </w:r>
      <w:r>
        <w:t>and coordination between agencies</w:t>
      </w:r>
      <w:r w:rsidR="00433B24">
        <w:t xml:space="preserve">. </w:t>
      </w:r>
      <w:r>
        <w:t xml:space="preserve">CAANZ is supported by </w:t>
      </w:r>
      <w:r w:rsidR="00C202F2">
        <w:t>four</w:t>
      </w:r>
      <w:r>
        <w:t xml:space="preserve"> advisory </w:t>
      </w:r>
      <w:r w:rsidR="00C202F2">
        <w:t xml:space="preserve">and consultative </w:t>
      </w:r>
      <w:r>
        <w:t>committees</w:t>
      </w:r>
      <w:r w:rsidR="00C202F2">
        <w:t>.</w:t>
      </w:r>
    </w:p>
    <w:p w14:paraId="43DB964F" w14:textId="0298834E" w:rsidR="00290D45" w:rsidRDefault="00C613D0" w:rsidP="00C613D0">
      <w:pPr>
        <w:pStyle w:val="Bullet"/>
        <w:tabs>
          <w:tab w:val="clear" w:pos="520"/>
          <w:tab w:val="num" w:pos="567"/>
        </w:tabs>
        <w:ind w:left="567" w:hanging="567"/>
      </w:pPr>
      <w:r w:rsidRPr="00711986">
        <w:t xml:space="preserve">The </w:t>
      </w:r>
      <w:r>
        <w:rPr>
          <w:b/>
        </w:rPr>
        <w:t xml:space="preserve">Policy and Research Advisory Committee (PRAC) </w:t>
      </w:r>
      <w:r>
        <w:t xml:space="preserve">focuses on the development of common policy approaches to national consumer issues, particularly as they relate to the ACL, and </w:t>
      </w:r>
      <w:r w:rsidR="009A522B">
        <w:t>on</w:t>
      </w:r>
      <w:r>
        <w:t xml:space="preserve"> coordinat</w:t>
      </w:r>
      <w:r w:rsidR="009A522B">
        <w:t>ing</w:t>
      </w:r>
      <w:r>
        <w:t xml:space="preserve"> the development of any amendments to the ACL</w:t>
      </w:r>
      <w:r w:rsidR="00433B24">
        <w:t xml:space="preserve">. </w:t>
      </w:r>
      <w:r>
        <w:t>PRAC also conducts national consumer policy research</w:t>
      </w:r>
      <w:r w:rsidR="00433B24">
        <w:t xml:space="preserve">. </w:t>
      </w:r>
    </w:p>
    <w:p w14:paraId="43DB9650" w14:textId="77777777" w:rsidR="00C613D0" w:rsidRPr="006B78B6" w:rsidRDefault="00C613D0" w:rsidP="00C613D0">
      <w:pPr>
        <w:pStyle w:val="Bullet"/>
        <w:tabs>
          <w:tab w:val="clear" w:pos="520"/>
          <w:tab w:val="num" w:pos="567"/>
        </w:tabs>
        <w:ind w:left="567" w:hanging="567"/>
      </w:pPr>
      <w:r w:rsidRPr="00711986">
        <w:t xml:space="preserve">The </w:t>
      </w:r>
      <w:r>
        <w:rPr>
          <w:b/>
        </w:rPr>
        <w:t>Education and Information Advisory Committee (EIAC)</w:t>
      </w:r>
      <w:r>
        <w:t xml:space="preserve"> focuses on national cooperation and coordination for education and information activities relating to the ACL and consumer issues more generally.</w:t>
      </w:r>
    </w:p>
    <w:p w14:paraId="43DB9651" w14:textId="7CE9E370" w:rsidR="00C613D0" w:rsidRDefault="00C613D0" w:rsidP="00C613D0">
      <w:pPr>
        <w:pStyle w:val="Bullet"/>
        <w:tabs>
          <w:tab w:val="clear" w:pos="520"/>
          <w:tab w:val="num" w:pos="567"/>
        </w:tabs>
        <w:ind w:left="567" w:hanging="567"/>
      </w:pPr>
      <w:r w:rsidRPr="00711986">
        <w:t>The</w:t>
      </w:r>
      <w:r>
        <w:rPr>
          <w:b/>
        </w:rPr>
        <w:t xml:space="preserve"> Compliance and Dispute Resolution Advisory Committee (CDRAC) </w:t>
      </w:r>
      <w:r>
        <w:t>focuses on national cooperation and coordination for compliance, dispute resolution and enforcement ac</w:t>
      </w:r>
      <w:r w:rsidR="00633457">
        <w:t>tivities relating to the ACL</w:t>
      </w:r>
      <w:r w:rsidR="00433B24">
        <w:t xml:space="preserve">. </w:t>
      </w:r>
      <w:r>
        <w:t>CDRAC is supported by a Fair Trading Operations Group (FTOG), which deals with day</w:t>
      </w:r>
      <w:r w:rsidR="00433B24">
        <w:noBreakHyphen/>
      </w:r>
      <w:r>
        <w:t>to</w:t>
      </w:r>
      <w:r w:rsidR="00433B24">
        <w:noBreakHyphen/>
      </w:r>
      <w:r>
        <w:t xml:space="preserve">day liaison on enforcement issues. </w:t>
      </w:r>
    </w:p>
    <w:p w14:paraId="43DB9652" w14:textId="6B873766" w:rsidR="00B60756" w:rsidRDefault="00290D45" w:rsidP="00290D45">
      <w:pPr>
        <w:pStyle w:val="Bullet"/>
        <w:tabs>
          <w:tab w:val="clear" w:pos="520"/>
          <w:tab w:val="num" w:pos="567"/>
        </w:tabs>
        <w:ind w:left="567" w:hanging="567"/>
      </w:pPr>
      <w:r w:rsidRPr="00290D45">
        <w:t xml:space="preserve">The </w:t>
      </w:r>
      <w:r w:rsidR="00D8281B" w:rsidRPr="00D8281B">
        <w:rPr>
          <w:b/>
        </w:rPr>
        <w:t>Product Safety Consultative Committee (</w:t>
      </w:r>
      <w:r w:rsidRPr="00D8281B">
        <w:rPr>
          <w:b/>
        </w:rPr>
        <w:t>PSCC</w:t>
      </w:r>
      <w:r w:rsidR="00D8281B">
        <w:rPr>
          <w:b/>
        </w:rPr>
        <w:t>)</w:t>
      </w:r>
      <w:r w:rsidRPr="006C62BF">
        <w:t xml:space="preserve"> </w:t>
      </w:r>
      <w:r>
        <w:t xml:space="preserve">provides a forum for regular engagement with state and territory consumer agencies on product safety policy, enforcement and awareness issues, and engages with the other committees as required. </w:t>
      </w:r>
    </w:p>
    <w:p w14:paraId="43DB9653" w14:textId="7D8923F8" w:rsidR="000F7AB7" w:rsidRDefault="000F7AB7" w:rsidP="005F2657">
      <w:r>
        <w:t>Governance papers outline the roles and governance arrangements for CAF, CAANZ and</w:t>
      </w:r>
      <w:r w:rsidR="000F056E">
        <w:t xml:space="preserve"> its advisory and consultative </w:t>
      </w:r>
      <w:r>
        <w:t>committees</w:t>
      </w:r>
      <w:r w:rsidR="00433B24">
        <w:t xml:space="preserve">. </w:t>
      </w:r>
      <w:r w:rsidR="000F056E">
        <w:t>This includes t</w:t>
      </w:r>
      <w:r>
        <w:t>he</w:t>
      </w:r>
      <w:r w:rsidR="000F056E">
        <w:t xml:space="preserve"> terms of reference,</w:t>
      </w:r>
      <w:r>
        <w:t xml:space="preserve"> decision</w:t>
      </w:r>
      <w:r w:rsidR="00433B24">
        <w:noBreakHyphen/>
      </w:r>
      <w:r>
        <w:t>making</w:t>
      </w:r>
      <w:r w:rsidR="000F056E">
        <w:t xml:space="preserve"> responsibilities, accountabilities</w:t>
      </w:r>
      <w:r>
        <w:t xml:space="preserve"> and reportin</w:t>
      </w:r>
      <w:r w:rsidR="000F056E">
        <w:t>g frameworks for the committees as well as</w:t>
      </w:r>
      <w:r>
        <w:t xml:space="preserve"> the strategic agenda, goals a</w:t>
      </w:r>
      <w:r w:rsidR="000F056E">
        <w:t>nd priorities for CAF and CAANZ</w:t>
      </w:r>
      <w:r w:rsidR="00433B24">
        <w:t xml:space="preserve">. </w:t>
      </w:r>
      <w:r w:rsidR="00D10A6F">
        <w:t>The governance papers are available at</w:t>
      </w:r>
      <w:r w:rsidR="009B2572">
        <w:t xml:space="preserve"> </w:t>
      </w:r>
      <w:r w:rsidR="00D10A6F">
        <w:t>www.consumerlaw.gov.au.</w:t>
      </w:r>
    </w:p>
    <w:p w14:paraId="43DB9654" w14:textId="5A0B5E0C" w:rsidR="000F7AB7" w:rsidRDefault="000F7AB7" w:rsidP="005F2657">
      <w:r>
        <w:t xml:space="preserve">The governance arrangements are regularly reviewed and updated to ensure </w:t>
      </w:r>
      <w:r w:rsidR="006D7BF4">
        <w:t>a consistent and integrated approach to consumer issues</w:t>
      </w:r>
      <w:r w:rsidR="00433B24">
        <w:t xml:space="preserve">. </w:t>
      </w:r>
      <w:r>
        <w:t xml:space="preserve">This assists to ensure the objectives and </w:t>
      </w:r>
      <w:r>
        <w:lastRenderedPageBreak/>
        <w:t>priorities of CAANZ and thereby CAF can be achieved in the most efficient and effective way</w:t>
      </w:r>
      <w:r w:rsidR="00433B24">
        <w:t xml:space="preserve">. </w:t>
      </w:r>
      <w:r w:rsidR="00574445">
        <w:t xml:space="preserve">Figure 2 at Appendix 1 demonstrates the alignment of the operational objectives for </w:t>
      </w:r>
      <w:r w:rsidR="006D7BF4">
        <w:t>2011</w:t>
      </w:r>
      <w:r w:rsidR="00433B24">
        <w:noBreakHyphen/>
      </w:r>
      <w:r w:rsidR="006D7BF4">
        <w:t>12.</w:t>
      </w:r>
    </w:p>
    <w:p w14:paraId="43DB9655" w14:textId="77777777" w:rsidR="00DF304A" w:rsidRDefault="00DF304A">
      <w:pPr>
        <w:pStyle w:val="Heading3"/>
      </w:pPr>
      <w:bookmarkStart w:id="52" w:name="_Toc342299511"/>
      <w:bookmarkStart w:id="53" w:name="_Toc342381479"/>
      <w:r>
        <w:t xml:space="preserve">Figure </w:t>
      </w:r>
      <w:r w:rsidR="00FA3EBA">
        <w:t>1</w:t>
      </w:r>
      <w:r>
        <w:t>: CAF governance arrangements</w:t>
      </w:r>
      <w:bookmarkEnd w:id="52"/>
      <w:bookmarkEnd w:id="53"/>
    </w:p>
    <w:p w14:paraId="43DB9657" w14:textId="77777777" w:rsidR="00DF304A" w:rsidRDefault="00DF304A" w:rsidP="00DF304A">
      <w:pPr>
        <w:spacing w:after="0" w:line="240" w:lineRule="auto"/>
        <w:jc w:val="center"/>
      </w:pPr>
      <w:r w:rsidRPr="00DF304A">
        <w:rPr>
          <w:noProof/>
        </w:rPr>
        <w:drawing>
          <wp:inline distT="0" distB="0" distL="0" distR="0" wp14:anchorId="43DB97A8" wp14:editId="43DB97A9">
            <wp:extent cx="5171429" cy="6428572"/>
            <wp:effectExtent l="0" t="0" r="0" b="0"/>
            <wp:docPr id="93" name="Picture 93" descr="Ministers responsible for consumer affairs are supported by CAANZ and its four advisory and consultative committees including the Policy and Research Advisory Committee (PRAC), the Education and Information Advisory Committee (EIAC), the Compliance and Dispute Resolution Advisory Committee, and the Product Safety Consultative Committee." title="COAG Legislative and Governance Forum on Consumer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71429" cy="6428572"/>
                    </a:xfrm>
                    <a:prstGeom prst="rect">
                      <a:avLst/>
                    </a:prstGeom>
                  </pic:spPr>
                </pic:pic>
              </a:graphicData>
            </a:graphic>
          </wp:inline>
        </w:drawing>
      </w:r>
    </w:p>
    <w:p w14:paraId="43DB965C" w14:textId="77777777" w:rsidR="0062161A" w:rsidRPr="0062161A" w:rsidRDefault="0062161A" w:rsidP="0062161A">
      <w:pPr>
        <w:pStyle w:val="Heading1"/>
      </w:pPr>
      <w:bookmarkStart w:id="54" w:name="_Toc342299512"/>
      <w:bookmarkStart w:id="55" w:name="_Toc342381480"/>
      <w:r w:rsidRPr="0062161A">
        <w:lastRenderedPageBreak/>
        <w:t>Consumer policy and research</w:t>
      </w:r>
      <w:bookmarkEnd w:id="54"/>
      <w:bookmarkEnd w:id="55"/>
    </w:p>
    <w:tbl>
      <w:tblPr>
        <w:tblStyle w:val="TableGrid"/>
        <w:tblW w:w="0" w:type="auto"/>
        <w:tblLook w:val="04A0" w:firstRow="1" w:lastRow="0" w:firstColumn="1" w:lastColumn="0" w:noHBand="0" w:noVBand="1"/>
      </w:tblPr>
      <w:tblGrid>
        <w:gridCol w:w="9286"/>
      </w:tblGrid>
      <w:tr w:rsidR="0062161A" w14:paraId="43DB965F" w14:textId="77777777" w:rsidTr="0062161A">
        <w:tc>
          <w:tcPr>
            <w:tcW w:w="9286" w:type="dxa"/>
          </w:tcPr>
          <w:p w14:paraId="43DB965D" w14:textId="77777777" w:rsidR="0062161A" w:rsidRDefault="0062161A" w:rsidP="005F2657">
            <w:pPr>
              <w:pStyle w:val="BoxHeading"/>
            </w:pPr>
            <w:bookmarkStart w:id="56" w:name="_Toc342299513"/>
            <w:r>
              <w:t>Summary</w:t>
            </w:r>
            <w:bookmarkEnd w:id="56"/>
          </w:p>
          <w:p w14:paraId="43DB965E" w14:textId="01FAC999" w:rsidR="008B40D2" w:rsidRPr="0062161A" w:rsidRDefault="00A70D1D" w:rsidP="00F52602">
            <w:pPr>
              <w:pStyle w:val="BoxText"/>
              <w:jc w:val="left"/>
            </w:pPr>
            <w:r>
              <w:t>In 2011</w:t>
            </w:r>
            <w:r w:rsidR="00433B24">
              <w:noBreakHyphen/>
            </w:r>
            <w:r>
              <w:t xml:space="preserve">12, consumer agencies have continued work to implement and transition to the ACL, strengthen and improve Australia’s consumer </w:t>
            </w:r>
            <w:r w:rsidRPr="00F52602">
              <w:t>protection</w:t>
            </w:r>
            <w:r>
              <w:t xml:space="preserve"> framework and </w:t>
            </w:r>
            <w:r w:rsidR="00FA3EBA">
              <w:t>through</w:t>
            </w:r>
            <w:r>
              <w:t xml:space="preserve"> collaborative partnerships</w:t>
            </w:r>
            <w:r w:rsidR="00302A09">
              <w:t>,</w:t>
            </w:r>
            <w:r>
              <w:t xml:space="preserve"> to deliver</w:t>
            </w:r>
            <w:r w:rsidR="009B5F96">
              <w:t xml:space="preserve"> on</w:t>
            </w:r>
            <w:r>
              <w:t xml:space="preserve"> strategic go</w:t>
            </w:r>
            <w:r w:rsidR="00BE7A3B">
              <w:t>als</w:t>
            </w:r>
            <w:r w:rsidR="00433B24">
              <w:t xml:space="preserve">. </w:t>
            </w:r>
            <w:r w:rsidR="00BE7A3B">
              <w:t>Key work included using the Australian Consumer Survey to identify business and consumer awareness of consumer laws, the facilitation of minor amendments to the ACL, and consideration of</w:t>
            </w:r>
            <w:r w:rsidR="00FA3EBA">
              <w:t xml:space="preserve"> a range of</w:t>
            </w:r>
            <w:r w:rsidR="00BE7A3B">
              <w:t xml:space="preserve"> consumer policy issues.</w:t>
            </w:r>
          </w:p>
        </w:tc>
      </w:tr>
    </w:tbl>
    <w:p w14:paraId="43DB9660" w14:textId="77777777" w:rsidR="00DB5EA2" w:rsidRDefault="0062161A" w:rsidP="0062161A">
      <w:pPr>
        <w:pStyle w:val="Heading2"/>
      </w:pPr>
      <w:bookmarkStart w:id="57" w:name="_Toc342299514"/>
      <w:bookmarkStart w:id="58" w:name="_Toc342381481"/>
      <w:r>
        <w:t>Overview</w:t>
      </w:r>
      <w:bookmarkEnd w:id="57"/>
      <w:bookmarkEnd w:id="58"/>
    </w:p>
    <w:p w14:paraId="43DB9661" w14:textId="77777777" w:rsidR="0062161A" w:rsidRDefault="0062161A" w:rsidP="0062161A">
      <w:pPr>
        <w:rPr>
          <w:lang w:val="en"/>
        </w:rPr>
      </w:pPr>
      <w:r>
        <w:t xml:space="preserve">Following </w:t>
      </w:r>
      <w:r w:rsidR="00D07D7D">
        <w:t>the ACL’s</w:t>
      </w:r>
      <w:r>
        <w:t xml:space="preserve"> </w:t>
      </w:r>
      <w:r w:rsidR="0052690F">
        <w:t xml:space="preserve">commencement on 1 January 2011, </w:t>
      </w:r>
      <w:r w:rsidR="00617A3E">
        <w:t>PRAC has</w:t>
      </w:r>
      <w:r>
        <w:t xml:space="preserve"> worked to</w:t>
      </w:r>
      <w:r w:rsidR="001846BB">
        <w:t xml:space="preserve"> build on the </w:t>
      </w:r>
      <w:r w:rsidR="00D07D7D">
        <w:t xml:space="preserve">consumer policy </w:t>
      </w:r>
      <w:r w:rsidR="001846BB">
        <w:t>evidence base to facilitate red tape reduction.</w:t>
      </w:r>
      <w:r>
        <w:t xml:space="preserve"> </w:t>
      </w:r>
      <w:r w:rsidRPr="00E8437A">
        <w:t xml:space="preserve">To assist in </w:t>
      </w:r>
      <w:r w:rsidRPr="00E8437A">
        <w:rPr>
          <w:lang w:val="en"/>
        </w:rPr>
        <w:t>reducing business compliance costs by removing unnecessary</w:t>
      </w:r>
      <w:r w:rsidR="009A522B">
        <w:rPr>
          <w:lang w:val="en"/>
        </w:rPr>
        <w:t>, outdated</w:t>
      </w:r>
      <w:r w:rsidRPr="00E8437A">
        <w:rPr>
          <w:lang w:val="en"/>
        </w:rPr>
        <w:t xml:space="preserve"> or inconsistent regulation, PRAC has progressed work on a range of projects including regulation relating to debt collection,</w:t>
      </w:r>
      <w:r w:rsidR="009A522B">
        <w:rPr>
          <w:lang w:val="en"/>
        </w:rPr>
        <w:t xml:space="preserve"> travel intermediaries,</w:t>
      </w:r>
      <w:r w:rsidRPr="00E8437A">
        <w:rPr>
          <w:lang w:val="en"/>
        </w:rPr>
        <w:t xml:space="preserve"> fundraising and domestic building contracts.</w:t>
      </w:r>
    </w:p>
    <w:p w14:paraId="43DB9662" w14:textId="6C0E00CD" w:rsidR="0062161A" w:rsidRDefault="0062161A" w:rsidP="0062161A">
      <w:r w:rsidRPr="00E8437A">
        <w:t>To better coordi</w:t>
      </w:r>
      <w:r w:rsidR="00FA46E5">
        <w:t>nate the work of Commonwealth, s</w:t>
      </w:r>
      <w:r w:rsidRPr="00E8437A">
        <w:t xml:space="preserve">tate and </w:t>
      </w:r>
      <w:r w:rsidR="00FA46E5">
        <w:t>t</w:t>
      </w:r>
      <w:r w:rsidRPr="00E8437A">
        <w:t xml:space="preserve">erritory policy officials, PRAC has engaged on a number of national projects </w:t>
      </w:r>
      <w:r w:rsidR="001846BB">
        <w:t>to better coordinate policy and research activities and to support CA</w:t>
      </w:r>
      <w:r w:rsidR="009B2572">
        <w:t>ANZ</w:t>
      </w:r>
      <w:r w:rsidR="009B5F96">
        <w:t xml:space="preserve"> in</w:t>
      </w:r>
      <w:r w:rsidR="001846BB">
        <w:t xml:space="preserve"> carry</w:t>
      </w:r>
      <w:r w:rsidR="009B5F96">
        <w:t>ing</w:t>
      </w:r>
      <w:r w:rsidR="001846BB">
        <w:t xml:space="preserve"> out its roles and functions.</w:t>
      </w:r>
    </w:p>
    <w:p w14:paraId="43DB9663" w14:textId="77777777" w:rsidR="0062161A" w:rsidRDefault="0062161A" w:rsidP="00654492">
      <w:pPr>
        <w:pStyle w:val="Heading3"/>
      </w:pPr>
      <w:bookmarkStart w:id="59" w:name="_Toc342299515"/>
      <w:bookmarkStart w:id="60" w:name="_Toc342381482"/>
      <w:r>
        <w:t>Implementing and transitioning to the ACL</w:t>
      </w:r>
      <w:bookmarkEnd w:id="59"/>
      <w:bookmarkEnd w:id="60"/>
    </w:p>
    <w:p w14:paraId="43DB9664" w14:textId="0F5BA3A6" w:rsidR="0062161A" w:rsidRPr="00724816" w:rsidRDefault="0062161A" w:rsidP="0062161A">
      <w:r w:rsidRPr="00724816">
        <w:t>The Australian Consumer Survey</w:t>
      </w:r>
      <w:r w:rsidR="00A8184B">
        <w:t xml:space="preserve"> (the Survey)</w:t>
      </w:r>
      <w:r w:rsidRPr="00724816">
        <w:t xml:space="preserve"> was particularly useful in identifying gaps in consumer and business understanding of consumer laws in Australia as well as broader community concerns</w:t>
      </w:r>
      <w:r w:rsidR="00433B24">
        <w:t xml:space="preserve">. </w:t>
      </w:r>
      <w:r w:rsidR="00A8184B">
        <w:t>The Survey</w:t>
      </w:r>
      <w:r w:rsidRPr="00724816">
        <w:t xml:space="preserve"> </w:t>
      </w:r>
      <w:r w:rsidR="00A8184B">
        <w:t>demonstrated that Australian consumers have a high level of awareness of the existence of consumer laws but that there are opportunities to increase their knowledge of their rights and obligations</w:t>
      </w:r>
      <w:r w:rsidR="00433B24">
        <w:t xml:space="preserve">. </w:t>
      </w:r>
      <w:r w:rsidRPr="00724816">
        <w:t xml:space="preserve">With the support of PRAC, </w:t>
      </w:r>
      <w:r w:rsidR="000D7BE1">
        <w:t>consumer</w:t>
      </w:r>
      <w:r w:rsidRPr="00724816">
        <w:t xml:space="preserve"> </w:t>
      </w:r>
      <w:r w:rsidR="006F2C5D">
        <w:t>agencies</w:t>
      </w:r>
      <w:r w:rsidR="006F2C5D" w:rsidRPr="00724816">
        <w:t xml:space="preserve"> </w:t>
      </w:r>
      <w:r w:rsidRPr="00724816">
        <w:t>have soug</w:t>
      </w:r>
      <w:r w:rsidR="009916EE">
        <w:t xml:space="preserve">ht to address the issues raised including through </w:t>
      </w:r>
      <w:r w:rsidR="009916EE" w:rsidRPr="009916EE">
        <w:t>addressing the knowledge gap among consumers</w:t>
      </w:r>
      <w:r w:rsidR="009916EE">
        <w:t xml:space="preserve"> and</w:t>
      </w:r>
      <w:r w:rsidR="009916EE" w:rsidRPr="00724816">
        <w:t xml:space="preserve"> </w:t>
      </w:r>
      <w:r w:rsidR="009916EE">
        <w:t>promoting consumer and business awareness of the ACL.</w:t>
      </w:r>
    </w:p>
    <w:p w14:paraId="43DB9665" w14:textId="77777777" w:rsidR="0062161A" w:rsidRDefault="004022D0" w:rsidP="0062161A">
      <w:pPr>
        <w:pStyle w:val="Heading3"/>
      </w:pPr>
      <w:bookmarkStart w:id="61" w:name="_Toc342299516"/>
      <w:bookmarkStart w:id="62" w:name="_Toc342381483"/>
      <w:r>
        <w:t>Strengthening and improving</w:t>
      </w:r>
      <w:r w:rsidR="0062161A">
        <w:t xml:space="preserve"> Australia’s consumer protection framework</w:t>
      </w:r>
      <w:bookmarkEnd w:id="61"/>
      <w:bookmarkEnd w:id="62"/>
    </w:p>
    <w:p w14:paraId="43DB9666" w14:textId="0EFF9B58" w:rsidR="0062161A" w:rsidRDefault="00A8184B" w:rsidP="0062161A">
      <w:r>
        <w:t xml:space="preserve">In its monitoring and maintenance role, </w:t>
      </w:r>
      <w:r w:rsidR="0062161A" w:rsidRPr="00724816">
        <w:t xml:space="preserve">PRAC </w:t>
      </w:r>
      <w:r w:rsidR="00D92D34">
        <w:t>facilitated</w:t>
      </w:r>
      <w:r w:rsidR="00D92D34" w:rsidRPr="00724816">
        <w:t xml:space="preserve"> </w:t>
      </w:r>
      <w:r w:rsidR="0062161A" w:rsidRPr="00724816">
        <w:t>amendments to the ACL to allow immediate supply of goods with a price of up to $500 under an unsolicited consumer agreement</w:t>
      </w:r>
      <w:r w:rsidR="00433B24">
        <w:t xml:space="preserve">. </w:t>
      </w:r>
      <w:r w:rsidR="0062161A" w:rsidRPr="00724816">
        <w:t xml:space="preserve">PRAC also </w:t>
      </w:r>
      <w:r w:rsidR="00D92D34">
        <w:t>facilitated a</w:t>
      </w:r>
      <w:r w:rsidR="0062161A" w:rsidRPr="00724816">
        <w:t xml:space="preserve"> change to the</w:t>
      </w:r>
      <w:r w:rsidR="009A522B">
        <w:t xml:space="preserve"> voluntary</w:t>
      </w:r>
      <w:r w:rsidR="0062161A" w:rsidRPr="00724816">
        <w:t xml:space="preserve"> termination notice for an unsolicited consumer agreement to ensure that consumers are made aware of the supplier’s obligation to collect any goods when cooling</w:t>
      </w:r>
      <w:r w:rsidR="00433B24">
        <w:noBreakHyphen/>
      </w:r>
      <w:r w:rsidR="0062161A" w:rsidRPr="00724816">
        <w:t>off rights are exercised</w:t>
      </w:r>
      <w:r w:rsidR="00433B24">
        <w:t xml:space="preserve">. </w:t>
      </w:r>
      <w:r w:rsidR="00B67BAB">
        <w:t xml:space="preserve">The </w:t>
      </w:r>
      <w:r w:rsidR="009A522B">
        <w:t xml:space="preserve">new requirements </w:t>
      </w:r>
      <w:r w:rsidR="00B67BAB">
        <w:t>commenced on 1 January 2012, when transitional provisions for section 86 of the ACL expired.</w:t>
      </w:r>
    </w:p>
    <w:p w14:paraId="43DB9667" w14:textId="7041B810" w:rsidR="00B67BAB" w:rsidRDefault="00B67BAB" w:rsidP="0062161A">
      <w:r>
        <w:t xml:space="preserve">PRAC led policy development efforts </w:t>
      </w:r>
      <w:r w:rsidR="00DF3F1A">
        <w:t>f</w:t>
      </w:r>
      <w:r>
        <w:t>o</w:t>
      </w:r>
      <w:r w:rsidR="00DF3F1A">
        <w:t>r</w:t>
      </w:r>
      <w:r>
        <w:t xml:space="preserve"> the unconscionable conduct provisions of the ACL</w:t>
      </w:r>
      <w:r w:rsidR="00DF3F1A">
        <w:t xml:space="preserve"> (see Case study 1)</w:t>
      </w:r>
      <w:r w:rsidR="00433B24">
        <w:t xml:space="preserve">. </w:t>
      </w:r>
      <w:r>
        <w:t>The amendments introduce</w:t>
      </w:r>
      <w:r w:rsidR="009B5F96">
        <w:t>d</w:t>
      </w:r>
      <w:r>
        <w:t xml:space="preserve"> interpretative principles into the unconscionable conduct provisions that will assist the Courts, consumers and businesses to understand the scope of the prohibition on unconscionable conduct</w:t>
      </w:r>
      <w:r w:rsidR="00433B24">
        <w:t xml:space="preserve">. </w:t>
      </w:r>
      <w:r>
        <w:t>The principles clarify, rather than alter, the effect of the statutory prohibition on unconscionable conduct.</w:t>
      </w:r>
    </w:p>
    <w:tbl>
      <w:tblPr>
        <w:tblStyle w:val="TableGrid"/>
        <w:tblW w:w="0" w:type="auto"/>
        <w:tblLook w:val="04A0" w:firstRow="1" w:lastRow="0" w:firstColumn="1" w:lastColumn="0" w:noHBand="0" w:noVBand="1"/>
      </w:tblPr>
      <w:tblGrid>
        <w:gridCol w:w="9286"/>
      </w:tblGrid>
      <w:tr w:rsidR="00FA46E5" w14:paraId="43DB966E" w14:textId="77777777" w:rsidTr="00FA46E5">
        <w:tc>
          <w:tcPr>
            <w:tcW w:w="9286" w:type="dxa"/>
          </w:tcPr>
          <w:p w14:paraId="43DB9668" w14:textId="77777777" w:rsidR="00FA46E5" w:rsidRDefault="00FA46E5" w:rsidP="005F2657">
            <w:pPr>
              <w:pStyle w:val="BoxHeading"/>
            </w:pPr>
            <w:r>
              <w:lastRenderedPageBreak/>
              <w:t>Case study 1 — Unconscionable conduct amendments</w:t>
            </w:r>
          </w:p>
          <w:p w14:paraId="43DB9669" w14:textId="0203C913" w:rsidR="00FA46E5" w:rsidRDefault="00FA46E5" w:rsidP="00FB12B9">
            <w:pPr>
              <w:pStyle w:val="BoxText"/>
              <w:jc w:val="left"/>
            </w:pPr>
            <w:r>
              <w:t xml:space="preserve">The </w:t>
            </w:r>
            <w:r w:rsidRPr="00C305ED">
              <w:rPr>
                <w:i/>
              </w:rPr>
              <w:t xml:space="preserve">Competition and Consumer Legislation Amendment </w:t>
            </w:r>
            <w:r>
              <w:rPr>
                <w:i/>
              </w:rPr>
              <w:t xml:space="preserve">Bill </w:t>
            </w:r>
            <w:r w:rsidRPr="00C305ED">
              <w:rPr>
                <w:i/>
              </w:rPr>
              <w:t>2011</w:t>
            </w:r>
            <w:r>
              <w:t xml:space="preserve"> (the Bill) was introduced into the Commonwealth Parliament on 15 June 2011 to amend the unconscionable conduct provision</w:t>
            </w:r>
            <w:r w:rsidR="007645E4">
              <w:t>s</w:t>
            </w:r>
            <w:r>
              <w:t xml:space="preserve"> in the ACL</w:t>
            </w:r>
            <w:r w:rsidR="00433B24">
              <w:t xml:space="preserve">. </w:t>
            </w:r>
            <w:r>
              <w:t xml:space="preserve">The Bill was passed by the Commonwealth Parliament on </w:t>
            </w:r>
            <w:r>
              <w:br/>
              <w:t>25 November 2011 and received royal assent on 6 December 2011</w:t>
            </w:r>
            <w:r w:rsidR="00433B24">
              <w:t xml:space="preserve">. </w:t>
            </w:r>
            <w:r>
              <w:t>The Bill amended the unconscionable conduct provision</w:t>
            </w:r>
            <w:r w:rsidR="007645E4">
              <w:t>s</w:t>
            </w:r>
            <w:r>
              <w:t xml:space="preserve"> in the ACL to:</w:t>
            </w:r>
          </w:p>
          <w:p w14:paraId="43DB966A" w14:textId="1665823A" w:rsidR="00FA46E5" w:rsidRDefault="00FA46E5" w:rsidP="00FB12B9">
            <w:pPr>
              <w:pStyle w:val="Bullet"/>
              <w:jc w:val="left"/>
            </w:pPr>
            <w:r>
              <w:t>insert a statement of interpretative principles to assist the courts to interpret and apply the provision</w:t>
            </w:r>
            <w:r w:rsidR="007645E4">
              <w:t>s</w:t>
            </w:r>
            <w:r>
              <w:t xml:space="preserve"> and to improve stakeholder understanding of the meaning and scope of the provision</w:t>
            </w:r>
            <w:r w:rsidR="007645E4">
              <w:t>s</w:t>
            </w:r>
            <w:r>
              <w:t>; and</w:t>
            </w:r>
          </w:p>
          <w:p w14:paraId="43DB966B" w14:textId="5D757F0D" w:rsidR="00FA46E5" w:rsidRDefault="00FA46E5" w:rsidP="00FB12B9">
            <w:pPr>
              <w:pStyle w:val="Bullet"/>
              <w:jc w:val="left"/>
            </w:pPr>
            <w:r>
              <w:t>provide that the statutory concept of unconscionable conduct is consistently applied to both consumers and business by unifying the consumer</w:t>
            </w:r>
            <w:r w:rsidR="00433B24">
              <w:noBreakHyphen/>
            </w:r>
            <w:r>
              <w:t>related and business</w:t>
            </w:r>
            <w:r w:rsidR="00433B24">
              <w:noBreakHyphen/>
            </w:r>
            <w:r>
              <w:t>related rules.</w:t>
            </w:r>
          </w:p>
          <w:p w14:paraId="43DB966C" w14:textId="2F76F874" w:rsidR="00FA46E5" w:rsidRDefault="00FA46E5" w:rsidP="00FB12B9">
            <w:pPr>
              <w:pStyle w:val="BoxText"/>
              <w:jc w:val="left"/>
            </w:pPr>
            <w:r>
              <w:t xml:space="preserve">The unconscionable conduct amendments arose from the findings of a 2010 expert panel report, entitled </w:t>
            </w:r>
            <w:r>
              <w:rPr>
                <w:i/>
              </w:rPr>
              <w:t>Strengthening statutory unconscionable conduct and the Franchising Code of Conduct</w:t>
            </w:r>
            <w:r w:rsidR="00433B24">
              <w:t xml:space="preserve">. </w:t>
            </w:r>
            <w:r>
              <w:t xml:space="preserve">The expert panel report was informed by a 2008 Senate Committee inquiry report into the unconscionable conduct provisions in the former </w:t>
            </w:r>
            <w:r>
              <w:rPr>
                <w:i/>
              </w:rPr>
              <w:t xml:space="preserve">Trade Practices Act 1974 </w:t>
            </w:r>
            <w:r w:rsidRPr="00576ECD">
              <w:rPr>
                <w:i/>
              </w:rPr>
              <w:t>(</w:t>
            </w:r>
            <w:proofErr w:type="spellStart"/>
            <w:r w:rsidRPr="00576ECD">
              <w:rPr>
                <w:i/>
              </w:rPr>
              <w:t>Cth</w:t>
            </w:r>
            <w:proofErr w:type="spellEnd"/>
            <w:r w:rsidRPr="00576ECD">
              <w:rPr>
                <w:i/>
              </w:rPr>
              <w:t>)</w:t>
            </w:r>
            <w:r w:rsidR="00433B24">
              <w:t xml:space="preserve">. </w:t>
            </w:r>
          </w:p>
          <w:p w14:paraId="43DB966D" w14:textId="18259938" w:rsidR="00FA46E5" w:rsidRDefault="00FA46E5" w:rsidP="00FB12B9">
            <w:pPr>
              <w:pStyle w:val="BoxText"/>
              <w:jc w:val="left"/>
            </w:pPr>
            <w:r>
              <w:t xml:space="preserve">The unconscionable conduct amendments in the ACL were developed with input and oversight from PRAC, and supported by the development of guidance materials for business by the EIAC and CDRAC including the guidance </w:t>
            </w:r>
            <w:r>
              <w:rPr>
                <w:i/>
              </w:rPr>
              <w:t>Business Snapshot</w:t>
            </w:r>
            <w:r w:rsidR="00433B24">
              <w:rPr>
                <w:i/>
              </w:rPr>
              <w:t xml:space="preserve"> — </w:t>
            </w:r>
            <w:r>
              <w:rPr>
                <w:i/>
              </w:rPr>
              <w:t xml:space="preserve">Unconscionable Conduct </w:t>
            </w:r>
            <w:r>
              <w:t xml:space="preserve">available at </w:t>
            </w:r>
            <w:hyperlink r:id="rId24" w:history="1">
              <w:r w:rsidRPr="000C6309">
                <w:rPr>
                  <w:rStyle w:val="Hyperlink"/>
                </w:rPr>
                <w:t>www.accc.gov.au</w:t>
              </w:r>
            </w:hyperlink>
            <w:r>
              <w:t>.</w:t>
            </w:r>
          </w:p>
        </w:tc>
      </w:tr>
    </w:tbl>
    <w:p w14:paraId="43DB966F" w14:textId="34FE361E" w:rsidR="00B67BAB" w:rsidRDefault="0062161A" w:rsidP="00FA46E5">
      <w:pPr>
        <w:spacing w:before="240"/>
      </w:pPr>
      <w:r w:rsidRPr="00724816">
        <w:t xml:space="preserve">The </w:t>
      </w:r>
      <w:r w:rsidRPr="0005195C">
        <w:rPr>
          <w:i/>
        </w:rPr>
        <w:t>Competition and Consumer (Tobacco) Information Standard 2011</w:t>
      </w:r>
      <w:r w:rsidRPr="0005195C">
        <w:t>,</w:t>
      </w:r>
      <w:r w:rsidRPr="00724816">
        <w:t xml:space="preserve"> which was implemented</w:t>
      </w:r>
      <w:r w:rsidRPr="0005195C">
        <w:t xml:space="preserve"> </w:t>
      </w:r>
      <w:r w:rsidRPr="00724816">
        <w:t xml:space="preserve">on 22 December 2011, was reviewed by PRAC </w:t>
      </w:r>
      <w:r w:rsidRPr="00E8437A">
        <w:t xml:space="preserve">to </w:t>
      </w:r>
      <w:r w:rsidRPr="00724816">
        <w:t>assist in the policy approval process</w:t>
      </w:r>
      <w:r w:rsidR="00433B24">
        <w:t xml:space="preserve">. </w:t>
      </w:r>
      <w:r w:rsidRPr="00724816">
        <w:t xml:space="preserve">From 1 December 2012, all tobacco products supplied in Australia must carry the updated and enlarged warnings in the </w:t>
      </w:r>
      <w:r w:rsidR="00FA46E5">
        <w:t xml:space="preserve">Information </w:t>
      </w:r>
      <w:r w:rsidRPr="00724816">
        <w:t>Standard</w:t>
      </w:r>
      <w:r w:rsidR="00433B24">
        <w:t xml:space="preserve">. </w:t>
      </w:r>
      <w:r w:rsidR="00B67BAB">
        <w:t>The Information Standard updated the current graphic health warnings for tobacco products, expanded their size and extended them to apply to all tobacco retail packaging in Australia, including cigars and loose tobacco.</w:t>
      </w:r>
    </w:p>
    <w:p w14:paraId="43DB9670" w14:textId="07AAE0FD" w:rsidR="00461621" w:rsidRDefault="00461621" w:rsidP="00FD6334">
      <w:r>
        <w:t>PRAC also considered the Productivity Commission’s recommendation to exempt restaurants and café menus from the component pricing provisions of the ACL</w:t>
      </w:r>
      <w:r w:rsidR="00433B24">
        <w:t xml:space="preserve">. </w:t>
      </w:r>
      <w:r w:rsidR="008555C1">
        <w:t>The component pricing provisions of the ACL require businesses making price representations to provide, in a prominent way and as a single figure, the single price for the goods or services</w:t>
      </w:r>
      <w:r w:rsidR="00433B24">
        <w:t xml:space="preserve">. </w:t>
      </w:r>
      <w:r w:rsidR="008555C1">
        <w:t>The component pricing provisions cover percentage surcharges applied by restaurants and cafes on public holidays and weekends</w:t>
      </w:r>
      <w:r w:rsidR="00433B24">
        <w:t xml:space="preserve">. </w:t>
      </w:r>
      <w:r w:rsidR="008555C1">
        <w:t>PRAC has coordinated further consultation with industry and consumer stakeholders</w:t>
      </w:r>
      <w:r w:rsidR="009A522B">
        <w:t xml:space="preserve"> and has undertaken a cost</w:t>
      </w:r>
      <w:r w:rsidR="00433B24">
        <w:noBreakHyphen/>
      </w:r>
      <w:r w:rsidR="009A522B">
        <w:t>benefit analysis of the recommended exemption</w:t>
      </w:r>
      <w:r w:rsidR="00FA46E5">
        <w:t xml:space="preserve"> to support state and t</w:t>
      </w:r>
      <w:r w:rsidR="008555C1">
        <w:t>erritory Ministers</w:t>
      </w:r>
      <w:r w:rsidR="009A522B">
        <w:t xml:space="preserve"> in their decision making</w:t>
      </w:r>
      <w:r w:rsidR="008555C1">
        <w:t>.</w:t>
      </w:r>
    </w:p>
    <w:p w14:paraId="43DB9671" w14:textId="77777777" w:rsidR="00A640C3" w:rsidRDefault="00A640C3" w:rsidP="00FD6334">
      <w:r>
        <w:t>Case study 2 outlines the evidence based approach adopted by PRAC when considering consumer policy issues.</w:t>
      </w:r>
    </w:p>
    <w:p w14:paraId="43DB9672" w14:textId="77777777" w:rsidR="00A640C3" w:rsidRDefault="00A640C3">
      <w:pPr>
        <w:spacing w:after="0" w:line="240" w:lineRule="auto"/>
      </w:pPr>
      <w:r>
        <w:br w:type="page"/>
      </w:r>
    </w:p>
    <w:tbl>
      <w:tblPr>
        <w:tblStyle w:val="TableGrid"/>
        <w:tblW w:w="0" w:type="auto"/>
        <w:tblLook w:val="04A0" w:firstRow="1" w:lastRow="0" w:firstColumn="1" w:lastColumn="0" w:noHBand="0" w:noVBand="1"/>
      </w:tblPr>
      <w:tblGrid>
        <w:gridCol w:w="9286"/>
      </w:tblGrid>
      <w:tr w:rsidR="00A640C3" w14:paraId="43DB967C" w14:textId="77777777" w:rsidTr="00A640C3">
        <w:tc>
          <w:tcPr>
            <w:tcW w:w="9286" w:type="dxa"/>
          </w:tcPr>
          <w:p w14:paraId="43DB9673" w14:textId="77777777" w:rsidR="00A640C3" w:rsidRPr="006B795B" w:rsidRDefault="00A640C3" w:rsidP="005F2657">
            <w:pPr>
              <w:pStyle w:val="BoxHeading"/>
            </w:pPr>
            <w:r>
              <w:lastRenderedPageBreak/>
              <w:t>Case study 2 — An evidence based approach to consumer policy</w:t>
            </w:r>
          </w:p>
          <w:p w14:paraId="43DB9674" w14:textId="4F13F115" w:rsidR="00A640C3" w:rsidRDefault="00A640C3" w:rsidP="00FB12B9">
            <w:pPr>
              <w:pStyle w:val="BoxText"/>
              <w:jc w:val="left"/>
            </w:pPr>
            <w:r>
              <w:t>Australia’s consumer agencies apply a systematic approach to identifying, evaluating and resolving consumer problems</w:t>
            </w:r>
            <w:r w:rsidR="00433B24">
              <w:t xml:space="preserve">. </w:t>
            </w:r>
            <w:r>
              <w:t>This approach is informed by the Organisation for Economic Co</w:t>
            </w:r>
            <w:r w:rsidR="00433B24">
              <w:noBreakHyphen/>
            </w:r>
            <w:r>
              <w:t xml:space="preserve">operation and Development’s (OECD’s) </w:t>
            </w:r>
            <w:r w:rsidRPr="006B795B">
              <w:rPr>
                <w:i/>
              </w:rPr>
              <w:t>Consumer Policy Toolkit</w:t>
            </w:r>
            <w:r>
              <w:rPr>
                <w:i/>
              </w:rPr>
              <w:t xml:space="preserve"> </w:t>
            </w:r>
            <w:r>
              <w:t>(the Toolkit)</w:t>
            </w:r>
            <w:r w:rsidR="00433B24">
              <w:t xml:space="preserve">. </w:t>
            </w:r>
            <w:r>
              <w:t>The Toolkit provides an evidence based approach to consumer policy which supports policy practitioners when considering consumer problems and assessing the appropriateness of policy tools.</w:t>
            </w:r>
          </w:p>
          <w:p w14:paraId="43DB9675" w14:textId="6D15F802" w:rsidR="00A640C3" w:rsidRDefault="00A640C3" w:rsidP="00FB12B9">
            <w:pPr>
              <w:pStyle w:val="BoxText"/>
              <w:jc w:val="left"/>
            </w:pPr>
            <w:r>
              <w:t xml:space="preserve">In March 2011, Commonwealth, state and territory officials jointly released </w:t>
            </w:r>
            <w:r w:rsidRPr="006B795B">
              <w:rPr>
                <w:i/>
              </w:rPr>
              <w:t>A companion to the OECD Consumer Policy Toolkit</w:t>
            </w:r>
            <w:r>
              <w:rPr>
                <w:i/>
              </w:rPr>
              <w:t xml:space="preserve"> </w:t>
            </w:r>
            <w:r>
              <w:t>(the Companion)</w:t>
            </w:r>
            <w:r w:rsidR="00433B24">
              <w:t xml:space="preserve">. </w:t>
            </w:r>
            <w:r>
              <w:t xml:space="preserve">The Companion </w:t>
            </w:r>
            <w:r w:rsidRPr="006B795B">
              <w:t>provides practical information and advice to government officials</w:t>
            </w:r>
            <w:r>
              <w:t>,</w:t>
            </w:r>
            <w:r w:rsidRPr="006B795B">
              <w:t xml:space="preserve"> and those interested in consumer policy</w:t>
            </w:r>
            <w:r>
              <w:t>,</w:t>
            </w:r>
            <w:r w:rsidRPr="006B795B">
              <w:t xml:space="preserve"> when considering consumer policy issues in an Australian context</w:t>
            </w:r>
            <w:r w:rsidR="00433B24">
              <w:t xml:space="preserve">. </w:t>
            </w:r>
            <w:r>
              <w:t>The Companion promotes the six</w:t>
            </w:r>
            <w:r w:rsidR="00433B24">
              <w:noBreakHyphen/>
            </w:r>
            <w:r>
              <w:t>step approach to consumer policy making outlined in the Toolkit.</w:t>
            </w:r>
          </w:p>
          <w:p w14:paraId="43DB9676" w14:textId="77777777" w:rsidR="00A640C3" w:rsidRDefault="00A640C3" w:rsidP="00A640C3">
            <w:pPr>
              <w:autoSpaceDE w:val="0"/>
              <w:autoSpaceDN w:val="0"/>
              <w:adjustRightInd w:val="0"/>
              <w:spacing w:after="0" w:line="240" w:lineRule="auto"/>
              <w:jc w:val="left"/>
            </w:pPr>
          </w:p>
          <w:p w14:paraId="43DB9677" w14:textId="77777777" w:rsidR="00A640C3" w:rsidRDefault="00A640C3" w:rsidP="00A640C3">
            <w:pPr>
              <w:autoSpaceDE w:val="0"/>
              <w:autoSpaceDN w:val="0"/>
              <w:adjustRightInd w:val="0"/>
              <w:spacing w:after="0" w:line="240" w:lineRule="auto"/>
              <w:jc w:val="left"/>
            </w:pPr>
            <w:r>
              <w:rPr>
                <w:noProof/>
              </w:rPr>
              <w:drawing>
                <wp:inline distT="0" distB="0" distL="0" distR="0" wp14:anchorId="43DB97AA" wp14:editId="3CD41B7F">
                  <wp:extent cx="5762625" cy="3429000"/>
                  <wp:effectExtent l="0" t="0" r="9525" b="0"/>
                  <wp:docPr id="1" name="Picture 1" descr="The Toolkit provides a step by step process whereby policy makers should define the consumer problem and its source, measure consumer detriment, determine whether consumer detriment warrants a policy action, set a policy objective and identify the range of policy options, evaluate options and select a policy action, and develop a policy review process to evaluate the effectiveness of the policy." title="OECD Consumer Policy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mus\indiv$\MZF\Desktop\oecd.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62625" cy="3429000"/>
                          </a:xfrm>
                          <a:prstGeom prst="rect">
                            <a:avLst/>
                          </a:prstGeom>
                          <a:noFill/>
                          <a:ln>
                            <a:noFill/>
                          </a:ln>
                        </pic:spPr>
                      </pic:pic>
                    </a:graphicData>
                  </a:graphic>
                </wp:inline>
              </w:drawing>
            </w:r>
          </w:p>
          <w:p w14:paraId="43DB9678" w14:textId="77777777" w:rsidR="00A640C3" w:rsidRDefault="00A640C3" w:rsidP="005F2657">
            <w:pPr>
              <w:pStyle w:val="ChartorTableNote"/>
            </w:pPr>
            <w:r w:rsidRPr="001330CC">
              <w:t>Source: OECD Consumer Policy Toolkit</w:t>
            </w:r>
          </w:p>
          <w:p w14:paraId="43DB9679" w14:textId="4A3E02E7" w:rsidR="00A640C3" w:rsidRDefault="00A640C3" w:rsidP="00FB12B9">
            <w:pPr>
              <w:pStyle w:val="BoxText"/>
              <w:jc w:val="left"/>
            </w:pPr>
            <w:r>
              <w:t>The six step approach was applied when the Assistant Treasurer, on behalf of CAF Ministers, requested that the Commonwealth Consumer Affairs Advisory Committee (CCAAC) commence a review into gift cards in the Australian market</w:t>
            </w:r>
            <w:r w:rsidR="00433B24">
              <w:t xml:space="preserve">. </w:t>
            </w:r>
            <w:r>
              <w:t>By applying the six</w:t>
            </w:r>
            <w:r w:rsidR="00433B24">
              <w:noBreakHyphen/>
            </w:r>
            <w:r>
              <w:t xml:space="preserve">step approach, CCAAC identified that gift cards are a popular choice for consumers, but that there was further scope for </w:t>
            </w:r>
            <w:r w:rsidRPr="00CC3964">
              <w:t xml:space="preserve">industry to develop and promote best practice principles that support consumers when engaging with </w:t>
            </w:r>
            <w:r>
              <w:t>gift card</w:t>
            </w:r>
            <w:r w:rsidRPr="00CC3964">
              <w:t xml:space="preserve"> products</w:t>
            </w:r>
            <w:r w:rsidR="00433B24">
              <w:t xml:space="preserve">. </w:t>
            </w:r>
            <w:r>
              <w:t xml:space="preserve">CCAAC’s report </w:t>
            </w:r>
            <w:r w:rsidRPr="001330CC">
              <w:rPr>
                <w:i/>
              </w:rPr>
              <w:t>Gift cards in the Australian market</w:t>
            </w:r>
            <w:r>
              <w:rPr>
                <w:i/>
              </w:rPr>
              <w:t xml:space="preserve"> </w:t>
            </w:r>
            <w:r>
              <w:t>was considered by Ministers at the 6 July 2012 CAF meeting.</w:t>
            </w:r>
          </w:p>
          <w:p w14:paraId="43DB967B" w14:textId="5A46A6DE" w:rsidR="00A640C3" w:rsidRDefault="00A640C3" w:rsidP="00FB12B9">
            <w:pPr>
              <w:pStyle w:val="BoxText"/>
              <w:jc w:val="left"/>
            </w:pPr>
            <w:r>
              <w:t xml:space="preserve">The Companion and the report </w:t>
            </w:r>
            <w:r w:rsidRPr="006B795B">
              <w:rPr>
                <w:i/>
              </w:rPr>
              <w:t>Gift cards in the Australian market</w:t>
            </w:r>
            <w:r>
              <w:t xml:space="preserve"> are available at </w:t>
            </w:r>
            <w:hyperlink r:id="rId26" w:history="1">
              <w:r w:rsidRPr="00C504F5">
                <w:rPr>
                  <w:rStyle w:val="Hyperlink"/>
                </w:rPr>
                <w:t>www.consumerlaw.gov.au</w:t>
              </w:r>
            </w:hyperlink>
            <w:r w:rsidRPr="00F17C19">
              <w:t>.</w:t>
            </w:r>
          </w:p>
        </w:tc>
      </w:tr>
    </w:tbl>
    <w:p w14:paraId="43DB967D" w14:textId="77777777" w:rsidR="00A640C3" w:rsidRDefault="00A640C3" w:rsidP="005F2657">
      <w:pPr>
        <w:pStyle w:val="SingleParagraph"/>
      </w:pPr>
    </w:p>
    <w:p w14:paraId="43DB967E" w14:textId="77777777" w:rsidR="00A640C3" w:rsidRDefault="00A640C3" w:rsidP="00E92463">
      <w:pPr>
        <w:pStyle w:val="Heading3"/>
      </w:pPr>
      <w:bookmarkStart w:id="63" w:name="_Toc342299517"/>
      <w:bookmarkStart w:id="64" w:name="_Toc342381484"/>
      <w:r>
        <w:lastRenderedPageBreak/>
        <w:t>Responding to industry concerns</w:t>
      </w:r>
      <w:bookmarkEnd w:id="63"/>
      <w:bookmarkEnd w:id="64"/>
    </w:p>
    <w:p w14:paraId="43DB967F" w14:textId="0AFBC83C" w:rsidR="007D6641" w:rsidRPr="007D6641" w:rsidRDefault="00A8184B" w:rsidP="00FD6334">
      <w:r>
        <w:t>C</w:t>
      </w:r>
      <w:r w:rsidR="007D6641" w:rsidRPr="007D6641">
        <w:t>ountry</w:t>
      </w:r>
      <w:r w:rsidR="00433B24">
        <w:noBreakHyphen/>
      </w:r>
      <w:r w:rsidR="007D6641" w:rsidRPr="007D6641">
        <w:t>of</w:t>
      </w:r>
      <w:r w:rsidR="00433B24">
        <w:noBreakHyphen/>
      </w:r>
      <w:r w:rsidR="007D6641" w:rsidRPr="007D6641">
        <w:t>origin labelling for food</w:t>
      </w:r>
      <w:r>
        <w:t xml:space="preserve"> was referred to PRAC for</w:t>
      </w:r>
      <w:r w:rsidR="00FA46E5">
        <w:t xml:space="preserve"> further</w:t>
      </w:r>
      <w:r>
        <w:t xml:space="preserve"> examination</w:t>
      </w:r>
      <w:r w:rsidR="00433B24">
        <w:t xml:space="preserve">. </w:t>
      </w:r>
      <w:r w:rsidR="00FA46E5">
        <w:t>Consumer agencies were</w:t>
      </w:r>
      <w:r w:rsidR="004472D9">
        <w:t xml:space="preserve"> asked to undertake a review of existing guidance on country</w:t>
      </w:r>
      <w:r w:rsidR="00433B24">
        <w:noBreakHyphen/>
      </w:r>
      <w:r w:rsidR="004472D9">
        <w:t>of</w:t>
      </w:r>
      <w:r w:rsidR="00433B24">
        <w:noBreakHyphen/>
      </w:r>
      <w:r w:rsidR="004472D9">
        <w:t>origin labelling in consultation with relevant agencies</w:t>
      </w:r>
      <w:r w:rsidR="00433B24">
        <w:t xml:space="preserve">. </w:t>
      </w:r>
      <w:r w:rsidR="004472D9">
        <w:t>Consumer agencies have reviewed current guidance material, developed specific targeted guidance for consumers on the operation of the labelling framework</w:t>
      </w:r>
      <w:r w:rsidR="00433B24">
        <w:t xml:space="preserve">. </w:t>
      </w:r>
      <w:r w:rsidR="004472D9">
        <w:t>In collaboration with CDRAC, a national compliance and enforcement strategy has also been developed to determine the level and nature of any concerns with country</w:t>
      </w:r>
      <w:r w:rsidR="00433B24">
        <w:noBreakHyphen/>
      </w:r>
      <w:r w:rsidR="004472D9">
        <w:t>of</w:t>
      </w:r>
      <w:r w:rsidR="00433B24">
        <w:noBreakHyphen/>
      </w:r>
      <w:r w:rsidR="004472D9">
        <w:t>origin labelling of food products in Australia.</w:t>
      </w:r>
    </w:p>
    <w:p w14:paraId="43DB9680" w14:textId="7C190F8F" w:rsidR="00371A2D" w:rsidRDefault="00FD6334" w:rsidP="0062161A">
      <w:r w:rsidRPr="00E8437A">
        <w:t>Work on</w:t>
      </w:r>
      <w:r w:rsidR="009A522B">
        <w:t xml:space="preserve"> a</w:t>
      </w:r>
      <w:r w:rsidRPr="00E8437A">
        <w:t xml:space="preserve"> travel industry transition plan has been coordinated with the support of PRAC</w:t>
      </w:r>
      <w:r w:rsidR="00433B24">
        <w:t xml:space="preserve">. </w:t>
      </w:r>
      <w:r w:rsidRPr="00E8437A">
        <w:t>This has included working with key stakeholders to</w:t>
      </w:r>
      <w:r w:rsidR="009A522B">
        <w:t xml:space="preserve"> identify and, where necessary,</w:t>
      </w:r>
      <w:r w:rsidRPr="00E8437A">
        <w:t xml:space="preserve"> develop </w:t>
      </w:r>
      <w:r w:rsidR="009A522B">
        <w:t>measures</w:t>
      </w:r>
      <w:r w:rsidR="009A522B" w:rsidRPr="00E8437A">
        <w:t xml:space="preserve"> </w:t>
      </w:r>
      <w:r w:rsidRPr="00E8437A">
        <w:t>that ensure that consumers</w:t>
      </w:r>
      <w:r w:rsidR="009A522B">
        <w:t xml:space="preserve"> remain</w:t>
      </w:r>
      <w:r w:rsidRPr="00E8437A">
        <w:t xml:space="preserve"> appropriately protected when engaging with the broader travel and travel services market</w:t>
      </w:r>
      <w:r w:rsidR="00433B24">
        <w:t xml:space="preserve">. </w:t>
      </w:r>
      <w:r w:rsidR="0017035F">
        <w:t xml:space="preserve">The transition plan </w:t>
      </w:r>
      <w:r w:rsidR="009B2572">
        <w:t>was</w:t>
      </w:r>
      <w:r w:rsidR="0017035F">
        <w:t xml:space="preserve"> subject to </w:t>
      </w:r>
      <w:r w:rsidR="0017035F" w:rsidRPr="0017035F">
        <w:t>consultation with interested parties, including industry and consumer groups during the development of the plan.</w:t>
      </w:r>
    </w:p>
    <w:p w14:paraId="43DB9681" w14:textId="77777777" w:rsidR="0062161A" w:rsidRPr="0062161A" w:rsidRDefault="0062161A" w:rsidP="0062161A">
      <w:pPr>
        <w:pStyle w:val="Heading3"/>
      </w:pPr>
      <w:bookmarkStart w:id="65" w:name="_Toc342299518"/>
      <w:bookmarkStart w:id="66" w:name="_Toc342381485"/>
      <w:r w:rsidRPr="0062161A">
        <w:t>Supporting broader strategic goals including COAG’s National Partnership to deliver a Seamless National Economy</w:t>
      </w:r>
      <w:bookmarkEnd w:id="65"/>
      <w:bookmarkEnd w:id="66"/>
    </w:p>
    <w:p w14:paraId="43DB9682" w14:textId="515A5F91" w:rsidR="009261BB" w:rsidRDefault="0062161A" w:rsidP="0062161A">
      <w:r w:rsidRPr="00724816">
        <w:t>PRAC developed a discussion paper setting out options for harmonising debt collection regulation</w:t>
      </w:r>
      <w:r w:rsidR="00433B24">
        <w:t xml:space="preserve">. </w:t>
      </w:r>
      <w:r w:rsidRPr="00724816">
        <w:t>The discussion paper was published in October 2011 and submissions closed in December 2011</w:t>
      </w:r>
      <w:r w:rsidR="00433B24">
        <w:t xml:space="preserve">. </w:t>
      </w:r>
      <w:r w:rsidR="009261BB">
        <w:t xml:space="preserve">The harmonisation of debt collection regulation </w:t>
      </w:r>
      <w:r w:rsidR="009261BB" w:rsidRPr="004138D8">
        <w:t>aim</w:t>
      </w:r>
      <w:r w:rsidR="009261BB">
        <w:t>s</w:t>
      </w:r>
      <w:r w:rsidR="009261BB" w:rsidRPr="004138D8">
        <w:t xml:space="preserve"> to minimise the regulatory overlap between the regulation and licensing of debt collectors</w:t>
      </w:r>
      <w:r w:rsidR="009261BB">
        <w:t xml:space="preserve"> and the regulation of debt collection</w:t>
      </w:r>
      <w:r w:rsidR="009261BB" w:rsidRPr="004138D8">
        <w:t xml:space="preserve"> currently administered by the states and territories</w:t>
      </w:r>
      <w:r w:rsidR="009261BB">
        <w:t>,</w:t>
      </w:r>
      <w:r w:rsidR="009261BB" w:rsidRPr="004138D8">
        <w:t xml:space="preserve"> and the new national consumer credit regime.</w:t>
      </w:r>
    </w:p>
    <w:p w14:paraId="43DB9683" w14:textId="1B6EE3C7" w:rsidR="00CD5A79" w:rsidRDefault="007D6641" w:rsidP="0062161A">
      <w:r>
        <w:t xml:space="preserve">In addition, PRAC progressed </w:t>
      </w:r>
      <w:r w:rsidR="00574445">
        <w:t>the</w:t>
      </w:r>
      <w:r>
        <w:t xml:space="preserve"> i</w:t>
      </w:r>
      <w:r w:rsidRPr="007D6641">
        <w:t>mplement</w:t>
      </w:r>
      <w:r w:rsidR="00574445">
        <w:t>ation of</w:t>
      </w:r>
      <w:r w:rsidRPr="007D6641">
        <w:t xml:space="preserve"> the </w:t>
      </w:r>
      <w:r w:rsidR="00CD5A79" w:rsidRPr="006B6105">
        <w:rPr>
          <w:i/>
        </w:rPr>
        <w:t>Australian Uni</w:t>
      </w:r>
      <w:r w:rsidR="00CD5A79">
        <w:rPr>
          <w:i/>
        </w:rPr>
        <w:t>form Co</w:t>
      </w:r>
      <w:r w:rsidR="00433B24">
        <w:rPr>
          <w:i/>
        </w:rPr>
        <w:noBreakHyphen/>
      </w:r>
      <w:r w:rsidR="00CD5A79">
        <w:rPr>
          <w:i/>
        </w:rPr>
        <w:t xml:space="preserve">operative Laws Agreement </w:t>
      </w:r>
      <w:r w:rsidR="00CD5A79">
        <w:t>that</w:t>
      </w:r>
      <w:r w:rsidR="00CD5A79" w:rsidRPr="00CD5A79">
        <w:t xml:space="preserve"> improve</w:t>
      </w:r>
      <w:r w:rsidR="00CD5A79">
        <w:t>s consistency and introduces simpler requirements for cross border operations by co</w:t>
      </w:r>
      <w:r w:rsidR="00433B24">
        <w:noBreakHyphen/>
      </w:r>
      <w:r w:rsidR="00CD5A79">
        <w:t xml:space="preserve">operatives, and supported the </w:t>
      </w:r>
      <w:r>
        <w:t>implement</w:t>
      </w:r>
      <w:r w:rsidR="00CD5A79">
        <w:t>ation of</w:t>
      </w:r>
      <w:r>
        <w:t xml:space="preserve"> the N</w:t>
      </w:r>
      <w:r w:rsidRPr="007D6641">
        <w:t>ationa</w:t>
      </w:r>
      <w:r>
        <w:t>l Occupational Licensing Scheme.</w:t>
      </w:r>
    </w:p>
    <w:p w14:paraId="43DB9684" w14:textId="1097E1F3" w:rsidR="00CD5A79" w:rsidRDefault="00CD5A79" w:rsidP="00CD5A79">
      <w:r>
        <w:t xml:space="preserve">PRAC considered options for resolving inconsistency between </w:t>
      </w:r>
      <w:r w:rsidR="00C504F5">
        <w:t>s</w:t>
      </w:r>
      <w:r>
        <w:t xml:space="preserve">tate and </w:t>
      </w:r>
      <w:r w:rsidR="00C504F5">
        <w:t>t</w:t>
      </w:r>
      <w:r>
        <w:t>erritory Legal Profession Acts (LPAs) and section 101 of the ACL, which requires a supplier to provide a consume</w:t>
      </w:r>
      <w:r w:rsidR="008F75B1">
        <w:t>r with an itemised bill within seven</w:t>
      </w:r>
      <w:r>
        <w:t xml:space="preserve"> days after a request is made</w:t>
      </w:r>
      <w:r w:rsidR="00433B24">
        <w:t xml:space="preserve">. </w:t>
      </w:r>
      <w:r w:rsidR="00E72E98">
        <w:t>This work has been considered in the light of further work being undertaken nationally.</w:t>
      </w:r>
    </w:p>
    <w:p w14:paraId="43DB9685" w14:textId="24EB764A" w:rsidR="0062161A" w:rsidRPr="00E8437A" w:rsidRDefault="0062161A" w:rsidP="0062161A">
      <w:r w:rsidRPr="00724816">
        <w:t>PRAC assisted in the development of a discussion paper setting out options for a new national approach to regulation of charitable fundraising</w:t>
      </w:r>
      <w:r w:rsidR="00433B24">
        <w:t xml:space="preserve">. </w:t>
      </w:r>
      <w:r w:rsidRPr="00724816">
        <w:t>The discussion paper was released in February 2012 and submissions closed in April 2012</w:t>
      </w:r>
      <w:r w:rsidR="00E72E98">
        <w:t xml:space="preserve"> with work progressing within the context of the broader not</w:t>
      </w:r>
      <w:r w:rsidR="00433B24">
        <w:noBreakHyphen/>
      </w:r>
      <w:r w:rsidR="00E72E98">
        <w:t>for</w:t>
      </w:r>
      <w:r w:rsidR="00433B24">
        <w:noBreakHyphen/>
      </w:r>
      <w:r w:rsidR="00E72E98">
        <w:t>profit reform agenda.</w:t>
      </w:r>
    </w:p>
    <w:p w14:paraId="43DB9686" w14:textId="77777777" w:rsidR="008523BB" w:rsidRDefault="008523BB">
      <w:pPr>
        <w:spacing w:after="0" w:line="240" w:lineRule="auto"/>
        <w:rPr>
          <w:rFonts w:ascii="Arial" w:hAnsi="Arial" w:cs="Arial"/>
          <w:b/>
          <w:bCs/>
          <w:color w:val="00673A"/>
          <w:sz w:val="26"/>
          <w:szCs w:val="26"/>
        </w:rPr>
      </w:pPr>
      <w:r>
        <w:br w:type="page"/>
      </w:r>
    </w:p>
    <w:p w14:paraId="43DB9687" w14:textId="77777777" w:rsidR="0062161A" w:rsidRPr="0062161A" w:rsidRDefault="0062161A" w:rsidP="0062161A">
      <w:pPr>
        <w:pStyle w:val="Heading3"/>
      </w:pPr>
      <w:bookmarkStart w:id="67" w:name="_Toc342299519"/>
      <w:bookmarkStart w:id="68" w:name="_Toc342381486"/>
      <w:r w:rsidRPr="0062161A">
        <w:lastRenderedPageBreak/>
        <w:t>Consolidating collaborative partnerships formed to deliver key outcomes</w:t>
      </w:r>
      <w:bookmarkEnd w:id="67"/>
      <w:bookmarkEnd w:id="68"/>
    </w:p>
    <w:p w14:paraId="43DB9688" w14:textId="7006BED7" w:rsidR="0062161A" w:rsidRDefault="00D8281B" w:rsidP="0062161A">
      <w:r>
        <w:t>PRAC members have worked collaboratively</w:t>
      </w:r>
      <w:r w:rsidR="0062161A">
        <w:t xml:space="preserve"> to consider issues relating to online comparison tools and online consumer contracts in the light of concerns relating to electricity switching sites, made to the NSW Department of Fair Trading</w:t>
      </w:r>
      <w:r w:rsidR="00433B24">
        <w:t xml:space="preserve">. </w:t>
      </w:r>
      <w:r w:rsidR="0062161A">
        <w:t>Through PRAC, these issues have been considered at a national level.</w:t>
      </w:r>
    </w:p>
    <w:p w14:paraId="43DB9689" w14:textId="634D2419" w:rsidR="009F3FB1" w:rsidRDefault="0062161A" w:rsidP="00F90F65">
      <w:pPr>
        <w:spacing w:before="240"/>
      </w:pPr>
      <w:r>
        <w:t xml:space="preserve">The Consumers 2011 conference, organised with the support of PRAC, provided Commonwealth, </w:t>
      </w:r>
      <w:r w:rsidR="00C504F5">
        <w:t>s</w:t>
      </w:r>
      <w:r>
        <w:t xml:space="preserve">tate and </w:t>
      </w:r>
      <w:r w:rsidR="00C504F5">
        <w:t>t</w:t>
      </w:r>
      <w:r>
        <w:t>erritory policy officers the opportunity to build networks and support the collaborative partnerships developed through the implementation of the ACL</w:t>
      </w:r>
      <w:r w:rsidR="00433B24">
        <w:t xml:space="preserve">. </w:t>
      </w:r>
      <w:r w:rsidR="009F3FB1">
        <w:t>The conference was also an opportunity for consumer advocates, competition and consumer academics and policy officers to engage in professional dialogue about a range of consumer issues.</w:t>
      </w:r>
    </w:p>
    <w:p w14:paraId="43DB968A" w14:textId="77777777" w:rsidR="0062161A" w:rsidRDefault="0062161A" w:rsidP="00680AB2">
      <w:pPr>
        <w:sectPr w:rsidR="0062161A" w:rsidSect="004B2A81">
          <w:footerReference w:type="default" r:id="rId27"/>
          <w:pgSz w:w="11906" w:h="16838" w:code="9"/>
          <w:pgMar w:top="1418" w:right="1418" w:bottom="1418" w:left="1418" w:header="709" w:footer="709" w:gutter="0"/>
          <w:pgNumType w:start="1"/>
          <w:cols w:space="708"/>
          <w:docGrid w:linePitch="360"/>
        </w:sectPr>
      </w:pPr>
    </w:p>
    <w:p w14:paraId="43DB968B" w14:textId="77777777" w:rsidR="0062161A" w:rsidRDefault="0062161A" w:rsidP="0062161A">
      <w:pPr>
        <w:pStyle w:val="Heading1"/>
      </w:pPr>
      <w:bookmarkStart w:id="69" w:name="_Toc342299520"/>
      <w:bookmarkStart w:id="70" w:name="_Toc342381487"/>
      <w:r>
        <w:lastRenderedPageBreak/>
        <w:t>Education and information for consumers and business</w:t>
      </w:r>
      <w:bookmarkEnd w:id="69"/>
      <w:bookmarkEnd w:id="70"/>
    </w:p>
    <w:tbl>
      <w:tblPr>
        <w:tblStyle w:val="TableGrid"/>
        <w:tblW w:w="0" w:type="auto"/>
        <w:tblLook w:val="04A0" w:firstRow="1" w:lastRow="0" w:firstColumn="1" w:lastColumn="0" w:noHBand="0" w:noVBand="1"/>
      </w:tblPr>
      <w:tblGrid>
        <w:gridCol w:w="9286"/>
      </w:tblGrid>
      <w:tr w:rsidR="0062161A" w14:paraId="43DB968E" w14:textId="77777777" w:rsidTr="0062161A">
        <w:tc>
          <w:tcPr>
            <w:tcW w:w="9286" w:type="dxa"/>
          </w:tcPr>
          <w:p w14:paraId="43DB968C" w14:textId="77777777" w:rsidR="0062161A" w:rsidRDefault="0062161A" w:rsidP="005F2657">
            <w:pPr>
              <w:pStyle w:val="BoxHeading"/>
            </w:pPr>
            <w:bookmarkStart w:id="71" w:name="_Toc342299521"/>
            <w:r>
              <w:t>Summary</w:t>
            </w:r>
            <w:bookmarkEnd w:id="71"/>
          </w:p>
          <w:p w14:paraId="43DB968D" w14:textId="59B85793" w:rsidR="0062161A" w:rsidRPr="0062161A" w:rsidRDefault="00207C01" w:rsidP="00FB12B9">
            <w:pPr>
              <w:pStyle w:val="BoxText"/>
              <w:jc w:val="left"/>
            </w:pPr>
            <w:r>
              <w:t>In 2011</w:t>
            </w:r>
            <w:r w:rsidR="00433B24">
              <w:noBreakHyphen/>
            </w:r>
            <w:r>
              <w:t xml:space="preserve">12, </w:t>
            </w:r>
            <w:r w:rsidR="000B73E1">
              <w:t>education and information activities have</w:t>
            </w:r>
            <w:r>
              <w:t xml:space="preserve"> improve</w:t>
            </w:r>
            <w:r w:rsidR="000B73E1">
              <w:t>d</w:t>
            </w:r>
            <w:r>
              <w:t xml:space="preserve"> con</w:t>
            </w:r>
            <w:r w:rsidR="000B73E1">
              <w:t>sumer understanding of the ACL by focussing on consumers’ understanding of their rights, and have complemented</w:t>
            </w:r>
            <w:r>
              <w:t xml:space="preserve"> the compliance activities of </w:t>
            </w:r>
            <w:r w:rsidR="000B73E1">
              <w:t>consumer</w:t>
            </w:r>
            <w:r w:rsidR="00574445">
              <w:t xml:space="preserve"> </w:t>
            </w:r>
            <w:r>
              <w:t>agencies</w:t>
            </w:r>
            <w:r w:rsidR="00433B24">
              <w:t xml:space="preserve">. </w:t>
            </w:r>
            <w:r>
              <w:t xml:space="preserve">Key </w:t>
            </w:r>
            <w:r w:rsidR="003905F8">
              <w:t>communications strategies</w:t>
            </w:r>
            <w:r>
              <w:t xml:space="preserve"> were delivered, </w:t>
            </w:r>
            <w:r w:rsidR="000B73E1">
              <w:t>including campaigns</w:t>
            </w:r>
            <w:r w:rsidR="00C44C64">
              <w:t xml:space="preserve"> on </w:t>
            </w:r>
            <w:r>
              <w:t xml:space="preserve">consumer guarantees, </w:t>
            </w:r>
            <w:r w:rsidR="003905F8">
              <w:t xml:space="preserve">product safety, travelling conmen and </w:t>
            </w:r>
            <w:r w:rsidR="003905F8" w:rsidRPr="0006364B">
              <w:t>unfair trading practices in regional and remote Indigenous communities</w:t>
            </w:r>
            <w:r w:rsidR="003905F8">
              <w:t>.</w:t>
            </w:r>
          </w:p>
        </w:tc>
      </w:tr>
    </w:tbl>
    <w:p w14:paraId="43DB968F" w14:textId="77777777" w:rsidR="0062161A" w:rsidRDefault="0062161A" w:rsidP="0062161A">
      <w:pPr>
        <w:pStyle w:val="Heading2"/>
      </w:pPr>
      <w:bookmarkStart w:id="72" w:name="_Toc342299522"/>
      <w:bookmarkStart w:id="73" w:name="_Toc342381488"/>
      <w:r>
        <w:t>Overview</w:t>
      </w:r>
      <w:bookmarkEnd w:id="72"/>
      <w:bookmarkEnd w:id="73"/>
    </w:p>
    <w:p w14:paraId="43DB9690" w14:textId="7A1154C2" w:rsidR="003462E5" w:rsidRDefault="00514FD5" w:rsidP="00E85C7B">
      <w:r>
        <w:t>EIAC has</w:t>
      </w:r>
      <w:r w:rsidR="0095511D">
        <w:t xml:space="preserve"> use</w:t>
      </w:r>
      <w:r>
        <w:t>d</w:t>
      </w:r>
      <w:r w:rsidR="0095511D">
        <w:t xml:space="preserve"> a range of media to communicate information on the ACL</w:t>
      </w:r>
      <w:r>
        <w:t xml:space="preserve"> to reach wide and diverse audiences</w:t>
      </w:r>
      <w:r w:rsidR="00433B24">
        <w:t xml:space="preserve">. </w:t>
      </w:r>
      <w:r>
        <w:t>The collaborative leadership model for the ACL has provided new opportunities for EIAC to support and promote policy and compliance activities</w:t>
      </w:r>
      <w:r w:rsidR="003E59A2">
        <w:t>. R</w:t>
      </w:r>
      <w:r w:rsidR="00574445">
        <w:t xml:space="preserve">esources </w:t>
      </w:r>
      <w:r w:rsidR="003E59A2">
        <w:t xml:space="preserve">are </w:t>
      </w:r>
      <w:r w:rsidR="00574445">
        <w:t>developed collaboratively to minimise duplication an</w:t>
      </w:r>
      <w:r w:rsidR="003E59A2">
        <w:t>d distributed nationally to ensure consistent messaging</w:t>
      </w:r>
      <w:r w:rsidR="00433B24">
        <w:t xml:space="preserve">. </w:t>
      </w:r>
    </w:p>
    <w:p w14:paraId="43DB9691" w14:textId="77777777" w:rsidR="0062161A" w:rsidRPr="00247519" w:rsidRDefault="00837512" w:rsidP="0062161A">
      <w:pPr>
        <w:pStyle w:val="Heading3"/>
      </w:pPr>
      <w:bookmarkStart w:id="74" w:name="_Toc342299523"/>
      <w:bookmarkStart w:id="75" w:name="_Toc342381489"/>
      <w:r>
        <w:t>Improving consumer understanding of the ACL</w:t>
      </w:r>
      <w:bookmarkEnd w:id="74"/>
      <w:bookmarkEnd w:id="75"/>
    </w:p>
    <w:p w14:paraId="43DB9692" w14:textId="305ECAEB" w:rsidR="0062161A" w:rsidRPr="0005195C" w:rsidRDefault="00D609F1" w:rsidP="0062161A">
      <w:r>
        <w:t>EIAC supported the delivery of a campaign highlighting consumer awareness</w:t>
      </w:r>
      <w:r w:rsidR="0053798B">
        <w:t xml:space="preserve"> of their rights when</w:t>
      </w:r>
      <w:r>
        <w:t xml:space="preserve"> </w:t>
      </w:r>
      <w:r w:rsidR="0062161A" w:rsidRPr="0005195C">
        <w:t>buy</w:t>
      </w:r>
      <w:r w:rsidR="00B95025">
        <w:t>ing</w:t>
      </w:r>
      <w:r w:rsidR="0062161A" w:rsidRPr="0005195C">
        <w:t xml:space="preserve"> goods and services that are faulty, unsafe or do not work as intended</w:t>
      </w:r>
      <w:r w:rsidR="00B37370">
        <w:t xml:space="preserve"> (see Case study 3)</w:t>
      </w:r>
      <w:r w:rsidR="00433B24">
        <w:t xml:space="preserve">. </w:t>
      </w:r>
      <w:r w:rsidR="00B95025">
        <w:t>A key focus of the</w:t>
      </w:r>
      <w:r>
        <w:t xml:space="preserve"> consumer guarantees</w:t>
      </w:r>
      <w:r w:rsidR="00B95025">
        <w:t xml:space="preserve"> campaign was</w:t>
      </w:r>
      <w:r w:rsidR="00837512">
        <w:t xml:space="preserve"> to </w:t>
      </w:r>
      <w:r w:rsidR="00B95025">
        <w:t>encourage consumers</w:t>
      </w:r>
      <w:r w:rsidR="0062161A" w:rsidRPr="0005195C">
        <w:t xml:space="preserve"> to go back to the business </w:t>
      </w:r>
      <w:r w:rsidR="0053798B" w:rsidRPr="0005195C">
        <w:t>w</w:t>
      </w:r>
      <w:r w:rsidR="0053798B">
        <w:t xml:space="preserve">hen they experience </w:t>
      </w:r>
      <w:r w:rsidR="0062161A" w:rsidRPr="0005195C">
        <w:t xml:space="preserve">a problem or contact their local consumer protection agency or the </w:t>
      </w:r>
      <w:r w:rsidR="00306CD1">
        <w:t>Australian Competition and Consumer Commission (</w:t>
      </w:r>
      <w:r w:rsidR="0062161A" w:rsidRPr="0005195C">
        <w:t>ACCC</w:t>
      </w:r>
      <w:r w:rsidR="00306CD1">
        <w:t>)</w:t>
      </w:r>
      <w:r w:rsidR="0062161A" w:rsidRPr="0005195C">
        <w:t xml:space="preserve"> </w:t>
      </w:r>
      <w:r w:rsidR="00B95025">
        <w:t>where they are unable to reach a resolution.</w:t>
      </w:r>
    </w:p>
    <w:p w14:paraId="43DB9693" w14:textId="6BEE30F3" w:rsidR="00E85C7B" w:rsidRDefault="0062161A" w:rsidP="00B37370">
      <w:r w:rsidRPr="0005195C">
        <w:t>A range of</w:t>
      </w:r>
      <w:r w:rsidR="00B95025">
        <w:t xml:space="preserve"> multi modal</w:t>
      </w:r>
      <w:r w:rsidRPr="0005195C">
        <w:t xml:space="preserve"> tools</w:t>
      </w:r>
      <w:r w:rsidR="00000EA9">
        <w:t>, including those that recognise linguistically and culturally diverse communities,</w:t>
      </w:r>
      <w:r w:rsidRPr="0005195C">
        <w:t xml:space="preserve"> were used to communicate the c</w:t>
      </w:r>
      <w:r w:rsidR="00766182">
        <w:t>ampaign</w:t>
      </w:r>
      <w:r w:rsidR="00C2530A">
        <w:t>’s</w:t>
      </w:r>
      <w:r w:rsidR="00766182">
        <w:t xml:space="preserve"> key messages including n</w:t>
      </w:r>
      <w:r w:rsidRPr="0005195C">
        <w:t>ational radio advertisements</w:t>
      </w:r>
      <w:r w:rsidR="00766182">
        <w:t>,</w:t>
      </w:r>
      <w:r w:rsidRPr="0005195C">
        <w:t xml:space="preserve"> outdoor advertising in select regional areas</w:t>
      </w:r>
      <w:r w:rsidR="00000EA9">
        <w:t xml:space="preserve"> and</w:t>
      </w:r>
      <w:r w:rsidR="00766182">
        <w:t xml:space="preserve"> online marketing tools</w:t>
      </w:r>
      <w:r w:rsidR="00433B24">
        <w:t xml:space="preserve">. </w:t>
      </w:r>
      <w:r w:rsidR="00D609F1">
        <w:t>These tools were</w:t>
      </w:r>
      <w:r w:rsidR="00C2530A">
        <w:t xml:space="preserve"> specifically designed</w:t>
      </w:r>
      <w:r w:rsidR="00D609F1">
        <w:t xml:space="preserve"> to support consumers when </w:t>
      </w:r>
      <w:r w:rsidR="000A7D01">
        <w:t>p</w:t>
      </w:r>
      <w:r w:rsidR="00D609F1">
        <w:t>ursuing redress</w:t>
      </w:r>
      <w:r w:rsidR="000A7D01">
        <w:t xml:space="preserve"> and identifying trader obligations</w:t>
      </w:r>
      <w:r w:rsidR="00D609F1">
        <w:t>.</w:t>
      </w:r>
    </w:p>
    <w:p w14:paraId="43DB9694" w14:textId="77777777" w:rsidR="00E85C7B" w:rsidRDefault="00E85C7B">
      <w:pPr>
        <w:spacing w:after="0" w:line="240" w:lineRule="auto"/>
      </w:pPr>
      <w:r>
        <w:br w:type="page"/>
      </w:r>
    </w:p>
    <w:tbl>
      <w:tblPr>
        <w:tblStyle w:val="TableGrid"/>
        <w:tblW w:w="0" w:type="auto"/>
        <w:tblLook w:val="04A0" w:firstRow="1" w:lastRow="0" w:firstColumn="1" w:lastColumn="0" w:noHBand="0" w:noVBand="1"/>
      </w:tblPr>
      <w:tblGrid>
        <w:gridCol w:w="9286"/>
      </w:tblGrid>
      <w:tr w:rsidR="00AC5177" w14:paraId="43DB969C" w14:textId="77777777" w:rsidTr="00AC5177">
        <w:tc>
          <w:tcPr>
            <w:tcW w:w="9286" w:type="dxa"/>
          </w:tcPr>
          <w:p w14:paraId="43DB9695" w14:textId="77777777" w:rsidR="00AC5177" w:rsidRPr="0006364B" w:rsidRDefault="00B15266" w:rsidP="005F2657">
            <w:pPr>
              <w:pStyle w:val="BoxHeading"/>
            </w:pPr>
            <w:r>
              <w:lastRenderedPageBreak/>
              <w:t xml:space="preserve">Case study 3 — </w:t>
            </w:r>
            <w:r w:rsidR="00AC5177" w:rsidRPr="0006364B">
              <w:t xml:space="preserve">Consumer </w:t>
            </w:r>
            <w:r w:rsidR="00AC5177">
              <w:t>g</w:t>
            </w:r>
            <w:r w:rsidR="00AC5177" w:rsidRPr="0006364B">
              <w:t xml:space="preserve">uarantees </w:t>
            </w:r>
            <w:r w:rsidR="00AC5177">
              <w:t>a</w:t>
            </w:r>
            <w:r w:rsidR="00AC5177" w:rsidRPr="0006364B">
              <w:t xml:space="preserve">wareness </w:t>
            </w:r>
            <w:r w:rsidR="00AC5177">
              <w:t>c</w:t>
            </w:r>
            <w:r w:rsidR="00AC5177" w:rsidRPr="0006364B">
              <w:t>ampaign</w:t>
            </w:r>
          </w:p>
          <w:p w14:paraId="43DB9696" w14:textId="59B84E49" w:rsidR="00AC5177" w:rsidRDefault="00AC5177" w:rsidP="00FB12B9">
            <w:pPr>
              <w:pStyle w:val="BoxText"/>
              <w:jc w:val="left"/>
              <w:rPr>
                <w:noProof/>
              </w:rPr>
            </w:pPr>
            <w:r>
              <w:t>To increase consumer</w:t>
            </w:r>
            <w:r w:rsidRPr="00CB1E26">
              <w:rPr>
                <w:noProof/>
                <w:spacing w:val="-2"/>
              </w:rPr>
              <w:t xml:space="preserve"> awareness of </w:t>
            </w:r>
            <w:r>
              <w:rPr>
                <w:noProof/>
                <w:spacing w:val="-2"/>
              </w:rPr>
              <w:t>their rights under the consumer guarantees provisions of the ACL, t</w:t>
            </w:r>
            <w:r>
              <w:t>he consumer guarantees national a</w:t>
            </w:r>
            <w:r w:rsidRPr="007D4900">
              <w:t xml:space="preserve">wareness </w:t>
            </w:r>
            <w:r>
              <w:t xml:space="preserve">campaign </w:t>
            </w:r>
            <w:r w:rsidR="00C2530A">
              <w:t xml:space="preserve">was implemented </w:t>
            </w:r>
            <w:r>
              <w:t>from February to June 2012</w:t>
            </w:r>
            <w:r w:rsidR="00433B24">
              <w:t xml:space="preserve">. </w:t>
            </w:r>
            <w:r>
              <w:t xml:space="preserve">The campaign’s key message was: </w:t>
            </w:r>
            <w:r w:rsidRPr="007D4900">
              <w:rPr>
                <w:i/>
              </w:rPr>
              <w:t>If it’s not right, use your rights: repair, replace, refund</w:t>
            </w:r>
            <w:r w:rsidR="00433B24">
              <w:t xml:space="preserve">. </w:t>
            </w:r>
          </w:p>
          <w:p w14:paraId="43DB9697" w14:textId="52E0CD79" w:rsidR="00AC5177" w:rsidRPr="00514ED7" w:rsidRDefault="00AC5177" w:rsidP="00FB12B9">
            <w:pPr>
              <w:pStyle w:val="BoxText"/>
              <w:jc w:val="left"/>
            </w:pPr>
            <w:r>
              <w:t>The c</w:t>
            </w:r>
            <w:r w:rsidRPr="007D4900">
              <w:t xml:space="preserve">ampaign </w:t>
            </w:r>
            <w:r>
              <w:t xml:space="preserve">was </w:t>
            </w:r>
            <w:r w:rsidRPr="007D4900">
              <w:t xml:space="preserve">developed in consultation with </w:t>
            </w:r>
            <w:r w:rsidR="00F44429">
              <w:t>ACL</w:t>
            </w:r>
            <w:r>
              <w:t xml:space="preserve"> </w:t>
            </w:r>
            <w:r w:rsidR="00C2530A">
              <w:t xml:space="preserve">consumer </w:t>
            </w:r>
            <w:r>
              <w:t>agencies and was coordinated by the ACCC</w:t>
            </w:r>
            <w:r w:rsidR="00433B24">
              <w:t xml:space="preserve">. </w:t>
            </w:r>
            <w:r w:rsidR="00C2530A">
              <w:rPr>
                <w:lang w:val="en-GB"/>
              </w:rPr>
              <w:t>A</w:t>
            </w:r>
            <w:r>
              <w:rPr>
                <w:lang w:val="en-GB"/>
              </w:rPr>
              <w:t xml:space="preserve">gencies supported the campaign by using </w:t>
            </w:r>
            <w:r w:rsidRPr="00F74EB0">
              <w:rPr>
                <w:noProof/>
              </w:rPr>
              <w:t>their existing stakeholder and liaison networks to raise awareness of the consumer guarantees regime</w:t>
            </w:r>
            <w:r w:rsidR="009B2572">
              <w:rPr>
                <w:noProof/>
              </w:rPr>
              <w:t xml:space="preserve"> especially</w:t>
            </w:r>
            <w:r w:rsidRPr="00F74EB0">
              <w:rPr>
                <w:noProof/>
              </w:rPr>
              <w:t xml:space="preserve"> for consumers</w:t>
            </w:r>
            <w:r w:rsidR="00C2530A">
              <w:rPr>
                <w:noProof/>
              </w:rPr>
              <w:t xml:space="preserve"> experiencing</w:t>
            </w:r>
            <w:r w:rsidR="00C2530A" w:rsidRPr="00F74EB0">
              <w:rPr>
                <w:noProof/>
              </w:rPr>
              <w:t xml:space="preserve"> </w:t>
            </w:r>
            <w:r w:rsidR="00C2530A">
              <w:rPr>
                <w:noProof/>
              </w:rPr>
              <w:t>disadvantage</w:t>
            </w:r>
            <w:r w:rsidR="00C2530A" w:rsidRPr="00F74EB0">
              <w:rPr>
                <w:noProof/>
              </w:rPr>
              <w:t xml:space="preserve"> and vulnerabl</w:t>
            </w:r>
            <w:r w:rsidR="00C2530A">
              <w:rPr>
                <w:noProof/>
              </w:rPr>
              <w:t>ilty</w:t>
            </w:r>
            <w:r w:rsidR="00433B24">
              <w:rPr>
                <w:noProof/>
              </w:rPr>
              <w:t xml:space="preserve">. </w:t>
            </w:r>
            <w:r>
              <w:t xml:space="preserve">Complaints handling transfer arrangements were implemented </w:t>
            </w:r>
            <w:r w:rsidRPr="007D4900">
              <w:t xml:space="preserve">between the ACCC </w:t>
            </w:r>
            <w:r>
              <w:t xml:space="preserve">and </w:t>
            </w:r>
            <w:r w:rsidR="000D7BE1">
              <w:t xml:space="preserve">consumer </w:t>
            </w:r>
            <w:r w:rsidR="006F2C5D">
              <w:t xml:space="preserve">agencies </w:t>
            </w:r>
            <w:r w:rsidRPr="007D4900">
              <w:t>to streamline referral of complaints from the ACCC</w:t>
            </w:r>
            <w:r w:rsidR="00433B24">
              <w:t xml:space="preserve">. </w:t>
            </w:r>
          </w:p>
          <w:p w14:paraId="43DB9698" w14:textId="77777777" w:rsidR="00AC5177" w:rsidRDefault="00AC5177" w:rsidP="00FB12B9">
            <w:pPr>
              <w:pStyle w:val="BoxText"/>
              <w:jc w:val="left"/>
              <w:rPr>
                <w:lang w:val="en-GB"/>
              </w:rPr>
            </w:pPr>
            <w:r>
              <w:rPr>
                <w:lang w:val="en-GB"/>
              </w:rPr>
              <w:t>The campaign supported</w:t>
            </w:r>
            <w:r w:rsidRPr="007D4900">
              <w:rPr>
                <w:lang w:val="en-GB"/>
              </w:rPr>
              <w:t xml:space="preserve"> a national compliance program, run jointly by the ACCC and </w:t>
            </w:r>
            <w:r w:rsidR="00C2530A">
              <w:rPr>
                <w:lang w:val="en-GB"/>
              </w:rPr>
              <w:t xml:space="preserve">consumer </w:t>
            </w:r>
            <w:r w:rsidR="006F2C5D">
              <w:rPr>
                <w:lang w:val="en-GB"/>
              </w:rPr>
              <w:t>agencies</w:t>
            </w:r>
            <w:r w:rsidRPr="007D4900">
              <w:rPr>
                <w:lang w:val="en-GB"/>
              </w:rPr>
              <w:t>, aimed at improving compliance with</w:t>
            </w:r>
            <w:r>
              <w:rPr>
                <w:lang w:val="en-GB"/>
              </w:rPr>
              <w:t xml:space="preserve"> </w:t>
            </w:r>
            <w:r w:rsidRPr="007D4900">
              <w:rPr>
                <w:lang w:val="en-GB"/>
              </w:rPr>
              <w:t>consumer guarantee</w:t>
            </w:r>
            <w:r>
              <w:rPr>
                <w:lang w:val="en-GB"/>
              </w:rPr>
              <w:t>s</w:t>
            </w:r>
            <w:r w:rsidRPr="007D4900">
              <w:rPr>
                <w:lang w:val="en-GB"/>
              </w:rPr>
              <w:t xml:space="preserve"> </w:t>
            </w:r>
            <w:r>
              <w:rPr>
                <w:lang w:val="en-GB"/>
              </w:rPr>
              <w:t>i</w:t>
            </w:r>
            <w:r w:rsidRPr="007D4900">
              <w:rPr>
                <w:lang w:val="en-GB"/>
              </w:rPr>
              <w:t xml:space="preserve">n the </w:t>
            </w:r>
            <w:proofErr w:type="spellStart"/>
            <w:r w:rsidRPr="007D4900">
              <w:rPr>
                <w:lang w:val="en-GB"/>
              </w:rPr>
              <w:t>whitegoods</w:t>
            </w:r>
            <w:proofErr w:type="spellEnd"/>
            <w:r w:rsidRPr="007D4900">
              <w:rPr>
                <w:lang w:val="en-GB"/>
              </w:rPr>
              <w:t xml:space="preserve">, electrical </w:t>
            </w:r>
            <w:r>
              <w:rPr>
                <w:lang w:val="en-GB"/>
              </w:rPr>
              <w:t>and telecommunications sectors.</w:t>
            </w:r>
          </w:p>
          <w:p w14:paraId="43DB9699" w14:textId="188F17A5" w:rsidR="00AC5177" w:rsidRDefault="00AC5177" w:rsidP="00FB12B9">
            <w:pPr>
              <w:pStyle w:val="BoxText"/>
              <w:jc w:val="left"/>
            </w:pPr>
            <w:r>
              <w:t>Campaign messaging was</w:t>
            </w:r>
            <w:r w:rsidRPr="007D4900">
              <w:t xml:space="preserve"> broadcast through a range of advertising and direct comm</w:t>
            </w:r>
            <w:r>
              <w:t xml:space="preserve">unications activities including national </w:t>
            </w:r>
            <w:r w:rsidRPr="007D4900">
              <w:t xml:space="preserve">radio </w:t>
            </w:r>
            <w:r>
              <w:t>and dig</w:t>
            </w:r>
            <w:r w:rsidRPr="007D4900">
              <w:t>ital advertising</w:t>
            </w:r>
            <w:r>
              <w:t>, and</w:t>
            </w:r>
            <w:r w:rsidRPr="007D4900">
              <w:t xml:space="preserve"> </w:t>
            </w:r>
            <w:r>
              <w:t xml:space="preserve">select </w:t>
            </w:r>
            <w:r w:rsidRPr="007D4900">
              <w:t xml:space="preserve">outdoor advertising in regional </w:t>
            </w:r>
            <w:r>
              <w:t>locations.</w:t>
            </w:r>
            <w:r w:rsidRPr="00F331DA">
              <w:t xml:space="preserve"> </w:t>
            </w:r>
            <w:r>
              <w:t xml:space="preserve">These activities were supported by the ACCC’s </w:t>
            </w:r>
            <w:r w:rsidRPr="007D4900">
              <w:t xml:space="preserve">interactive </w:t>
            </w:r>
            <w:r>
              <w:t>online consumer guarantees problem solver (‘Wizard’), and consumer guarantees</w:t>
            </w:r>
            <w:r w:rsidR="00433B24">
              <w:noBreakHyphen/>
            </w:r>
            <w:r w:rsidRPr="007D4900">
              <w:t xml:space="preserve">specific </w:t>
            </w:r>
            <w:r>
              <w:t xml:space="preserve">ACCC website and </w:t>
            </w:r>
            <w:r w:rsidRPr="007D4900">
              <w:t>Facebook page</w:t>
            </w:r>
            <w:r>
              <w:t>s</w:t>
            </w:r>
            <w:r w:rsidR="00433B24">
              <w:t xml:space="preserve">. </w:t>
            </w:r>
          </w:p>
          <w:p w14:paraId="43DB969A" w14:textId="3EEDFC92" w:rsidR="00966296" w:rsidRPr="007D4900" w:rsidRDefault="00966296" w:rsidP="00FB12B9">
            <w:pPr>
              <w:pStyle w:val="BoxText"/>
              <w:jc w:val="left"/>
            </w:pPr>
            <w:r w:rsidRPr="00A014EA">
              <w:t xml:space="preserve">Over 120 stakeholders actively supported the </w:t>
            </w:r>
            <w:r>
              <w:t>campaign</w:t>
            </w:r>
            <w:r w:rsidRPr="00A014EA">
              <w:t xml:space="preserve"> by placing articles in newsletters or as website content, website links to the </w:t>
            </w:r>
            <w:r>
              <w:t>campaign</w:t>
            </w:r>
            <w:r w:rsidRPr="00A014EA">
              <w:t xml:space="preserve"> webpage and organising</w:t>
            </w:r>
            <w:r>
              <w:t xml:space="preserve"> face</w:t>
            </w:r>
            <w:r w:rsidR="0053798B">
              <w:t>-</w:t>
            </w:r>
            <w:r>
              <w:t>to</w:t>
            </w:r>
            <w:r w:rsidR="0053798B">
              <w:t>-</w:t>
            </w:r>
            <w:r>
              <w:t>face presentations</w:t>
            </w:r>
            <w:r w:rsidR="00433B24">
              <w:t xml:space="preserve">. </w:t>
            </w:r>
            <w:r>
              <w:rPr>
                <w:lang w:val="en-GB"/>
              </w:rPr>
              <w:t xml:space="preserve">Campaign materials, including 49,000 publications translated into 14 languages, were also </w:t>
            </w:r>
            <w:r>
              <w:t xml:space="preserve">disseminated </w:t>
            </w:r>
            <w:r w:rsidRPr="007D4900">
              <w:t xml:space="preserve">through several key intermediaries in touch with the various target community groups such </w:t>
            </w:r>
            <w:r>
              <w:t xml:space="preserve">as </w:t>
            </w:r>
            <w:r w:rsidRPr="007D4900">
              <w:t>migrant com</w:t>
            </w:r>
            <w:r>
              <w:t>munities and regional consumers.</w:t>
            </w:r>
          </w:p>
          <w:p w14:paraId="43DB969B" w14:textId="66C17AB1" w:rsidR="00AC5177" w:rsidRDefault="00B37370" w:rsidP="00FB12B9">
            <w:pPr>
              <w:pStyle w:val="BoxText"/>
              <w:jc w:val="left"/>
            </w:pPr>
            <w:r>
              <w:t>At its conclusion, the campaign was evaluated by conducting surveys that examined consumers’ knowledge of their consumer rights when they purchase a faulty product or service</w:t>
            </w:r>
            <w:r w:rsidR="00433B24">
              <w:t xml:space="preserve">. </w:t>
            </w:r>
            <w:r w:rsidR="00AC5177">
              <w:rPr>
                <w:iCs/>
                <w:lang w:val="en-GB"/>
              </w:rPr>
              <w:t xml:space="preserve">The surveys </w:t>
            </w:r>
            <w:r w:rsidR="00AC5177" w:rsidRPr="007B5760">
              <w:rPr>
                <w:iCs/>
                <w:lang w:val="en-GB"/>
              </w:rPr>
              <w:t>indicated th</w:t>
            </w:r>
            <w:r>
              <w:rPr>
                <w:iCs/>
                <w:lang w:val="en-GB"/>
              </w:rPr>
              <w:t>at the campaign was effective</w:t>
            </w:r>
            <w:r w:rsidR="00F44429">
              <w:rPr>
                <w:iCs/>
                <w:lang w:val="en-GB"/>
              </w:rPr>
              <w:t xml:space="preserve"> in</w:t>
            </w:r>
            <w:r>
              <w:rPr>
                <w:iCs/>
                <w:lang w:val="en-GB"/>
              </w:rPr>
              <w:t xml:space="preserve"> </w:t>
            </w:r>
            <w:r w:rsidR="00F44429">
              <w:rPr>
                <w:iCs/>
                <w:lang w:val="en-GB"/>
              </w:rPr>
              <w:t>achieving</w:t>
            </w:r>
            <w:r>
              <w:rPr>
                <w:iCs/>
                <w:lang w:val="en-GB"/>
              </w:rPr>
              <w:t xml:space="preserve"> an increase in consumers’ knowledge about consumer guarantees and their rights more broadly</w:t>
            </w:r>
            <w:r w:rsidR="00433B24">
              <w:rPr>
                <w:iCs/>
                <w:lang w:val="en-GB"/>
              </w:rPr>
              <w:t xml:space="preserve">. </w:t>
            </w:r>
          </w:p>
        </w:tc>
      </w:tr>
    </w:tbl>
    <w:p w14:paraId="43DB969D" w14:textId="77777777" w:rsidR="00D9601E" w:rsidRPr="005F2657" w:rsidRDefault="00220342" w:rsidP="005F2657">
      <w:pPr>
        <w:pStyle w:val="Heading3NotNumbered"/>
      </w:pPr>
      <w:bookmarkStart w:id="76" w:name="_Toc342299524"/>
      <w:r w:rsidRPr="005F2657">
        <w:t>Supporting and promoting compliance activities</w:t>
      </w:r>
      <w:bookmarkEnd w:id="76"/>
      <w:r w:rsidRPr="005F2657">
        <w:t xml:space="preserve"> </w:t>
      </w:r>
    </w:p>
    <w:p w14:paraId="43DB969E" w14:textId="39663863" w:rsidR="004A29D1" w:rsidRDefault="00D9601E" w:rsidP="004A29D1">
      <w:r>
        <w:t>EIAC</w:t>
      </w:r>
      <w:r w:rsidR="004A29D1">
        <w:t xml:space="preserve"> has supported compliance initiatives by developing</w:t>
      </w:r>
      <w:r w:rsidR="00AE6648">
        <w:t xml:space="preserve"> accompanying </w:t>
      </w:r>
      <w:r w:rsidR="0062161A" w:rsidRPr="0005195C">
        <w:t>communic</w:t>
      </w:r>
      <w:r>
        <w:t xml:space="preserve">ation </w:t>
      </w:r>
      <w:r w:rsidR="00AE6648">
        <w:t>strateg</w:t>
      </w:r>
      <w:r w:rsidR="004A29D1">
        <w:t>ies</w:t>
      </w:r>
      <w:r w:rsidR="00433B24">
        <w:t xml:space="preserve">. </w:t>
      </w:r>
      <w:r w:rsidR="004A29D1">
        <w:t>EIAC</w:t>
      </w:r>
      <w:r w:rsidR="004A29D1" w:rsidRPr="0005195C">
        <w:t xml:space="preserve"> d</w:t>
      </w:r>
      <w:r w:rsidR="004A29D1">
        <w:t xml:space="preserve">elivered </w:t>
      </w:r>
      <w:r w:rsidR="004A29D1" w:rsidRPr="0005195C">
        <w:t xml:space="preserve">communications </w:t>
      </w:r>
      <w:r w:rsidR="004A29D1">
        <w:t>strategies to support the travelling conmen campaign (see Case studies 4 and 8), and</w:t>
      </w:r>
      <w:r w:rsidR="004A29D1" w:rsidRPr="0005195C">
        <w:t xml:space="preserve"> to educate electrical and whitegoods retailers about </w:t>
      </w:r>
      <w:r w:rsidR="004A29D1">
        <w:t>consumer guarantees</w:t>
      </w:r>
      <w:r w:rsidR="004A29D1" w:rsidRPr="0005195C">
        <w:t xml:space="preserve"> and the primary areas of concern for consumer agencies</w:t>
      </w:r>
      <w:r w:rsidR="00433B24">
        <w:t xml:space="preserve">. </w:t>
      </w:r>
      <w:r w:rsidR="004A29D1">
        <w:t xml:space="preserve">In addition, EIAC </w:t>
      </w:r>
      <w:r w:rsidR="004A29D1" w:rsidRPr="0005195C">
        <w:t>de</w:t>
      </w:r>
      <w:r w:rsidR="004A29D1">
        <w:t>livered</w:t>
      </w:r>
      <w:r w:rsidR="004A29D1" w:rsidRPr="0005195C">
        <w:t xml:space="preserve"> a communications </w:t>
      </w:r>
      <w:r w:rsidR="004A29D1">
        <w:t>strategy</w:t>
      </w:r>
      <w:r w:rsidR="004A29D1" w:rsidRPr="0005195C">
        <w:t xml:space="preserve"> to educate online retailers about fair terms on conditions when selling goods.</w:t>
      </w:r>
    </w:p>
    <w:p w14:paraId="43DB969F" w14:textId="77777777" w:rsidR="00750FD4" w:rsidRDefault="00AC26FE" w:rsidP="00E92463">
      <w:r>
        <w:t xml:space="preserve">EIAC developed </w:t>
      </w:r>
      <w:r w:rsidRPr="0005195C">
        <w:t xml:space="preserve">five industry specific guides </w:t>
      </w:r>
      <w:r>
        <w:t>on trader obligations under</w:t>
      </w:r>
      <w:r w:rsidRPr="0005195C">
        <w:t xml:space="preserve"> the ACL. The guides target</w:t>
      </w:r>
      <w:r>
        <w:t>ed</w:t>
      </w:r>
      <w:r w:rsidRPr="0005195C">
        <w:t xml:space="preserve"> electrical and whitegoods retailers, motor car sellers and rental companies, personal service providers as well as travel and accommodation providers</w:t>
      </w:r>
      <w:r w:rsidR="00581F90">
        <w:t>.</w:t>
      </w:r>
    </w:p>
    <w:p w14:paraId="43DB96A1" w14:textId="19BFD941" w:rsidR="004A29D1" w:rsidRDefault="004A29D1">
      <w:pPr>
        <w:spacing w:after="0" w:line="240" w:lineRule="auto"/>
      </w:pPr>
    </w:p>
    <w:tbl>
      <w:tblPr>
        <w:tblStyle w:val="TableGrid"/>
        <w:tblW w:w="0" w:type="auto"/>
        <w:tblLook w:val="04A0" w:firstRow="1" w:lastRow="0" w:firstColumn="1" w:lastColumn="0" w:noHBand="0" w:noVBand="1"/>
      </w:tblPr>
      <w:tblGrid>
        <w:gridCol w:w="9286"/>
      </w:tblGrid>
      <w:tr w:rsidR="002F382C" w14:paraId="43DB96B6" w14:textId="77777777" w:rsidTr="002F382C">
        <w:tc>
          <w:tcPr>
            <w:tcW w:w="9286" w:type="dxa"/>
          </w:tcPr>
          <w:p w14:paraId="43DB96A2" w14:textId="77777777" w:rsidR="002F382C" w:rsidRPr="005F2657" w:rsidRDefault="00B15266" w:rsidP="005F2657">
            <w:pPr>
              <w:pStyle w:val="BoxHeading"/>
              <w:spacing w:line="240" w:lineRule="auto"/>
              <w:jc w:val="left"/>
            </w:pPr>
            <w:r w:rsidRPr="005F2657">
              <w:lastRenderedPageBreak/>
              <w:t>Case study 4 —</w:t>
            </w:r>
            <w:r w:rsidR="000E245A" w:rsidRPr="005F2657">
              <w:t xml:space="preserve"> Travelling conmen</w:t>
            </w:r>
            <w:r w:rsidR="000E245A" w:rsidRPr="005F2657" w:rsidDel="000E245A">
              <w:t xml:space="preserve"> </w:t>
            </w:r>
            <w:r w:rsidR="000E245A" w:rsidRPr="005F2657">
              <w:t>c</w:t>
            </w:r>
            <w:r w:rsidR="00CA4F1A" w:rsidRPr="005F2657">
              <w:t>ommunication</w:t>
            </w:r>
            <w:r w:rsidR="00774268" w:rsidRPr="005F2657">
              <w:t>s</w:t>
            </w:r>
            <w:r w:rsidR="00CA4F1A" w:rsidRPr="005F2657">
              <w:t xml:space="preserve"> </w:t>
            </w:r>
            <w:r w:rsidR="00774268" w:rsidRPr="005F2657">
              <w:t>strategy</w:t>
            </w:r>
          </w:p>
          <w:p w14:paraId="43DB96A3" w14:textId="2FE4A539" w:rsidR="002F382C" w:rsidRPr="0006364B" w:rsidRDefault="002F382C" w:rsidP="00FB12B9">
            <w:pPr>
              <w:pStyle w:val="BoxText"/>
              <w:jc w:val="left"/>
            </w:pPr>
            <w:r>
              <w:t>In 2011</w:t>
            </w:r>
            <w:r w:rsidR="00433B24">
              <w:noBreakHyphen/>
            </w:r>
            <w:r>
              <w:t>12</w:t>
            </w:r>
            <w:r w:rsidR="004371E2">
              <w:t>,</w:t>
            </w:r>
            <w:r>
              <w:t xml:space="preserve"> ACL </w:t>
            </w:r>
            <w:r w:rsidR="00AE6648">
              <w:t xml:space="preserve"> consumer </w:t>
            </w:r>
            <w:r w:rsidR="006F2C5D">
              <w:t xml:space="preserve">agencies </w:t>
            </w:r>
            <w:r>
              <w:t>responded to concerns that</w:t>
            </w:r>
            <w:r w:rsidRPr="0006364B">
              <w:t xml:space="preserve"> a number of local and </w:t>
            </w:r>
            <w:r w:rsidR="0000022B">
              <w:t>international</w:t>
            </w:r>
            <w:r w:rsidR="0000022B" w:rsidRPr="0006364B">
              <w:t xml:space="preserve"> </w:t>
            </w:r>
            <w:r w:rsidRPr="0006364B">
              <w:t xml:space="preserve">organised crime </w:t>
            </w:r>
            <w:r>
              <w:t>groups</w:t>
            </w:r>
            <w:r w:rsidR="00AD2215">
              <w:t xml:space="preserve">—often posing as </w:t>
            </w:r>
            <w:r w:rsidR="00AD2215" w:rsidRPr="0006364B">
              <w:t>traders offer</w:t>
            </w:r>
            <w:r w:rsidR="00AD2215">
              <w:t>ing</w:t>
            </w:r>
            <w:r w:rsidR="00AD2215" w:rsidRPr="0006364B">
              <w:t xml:space="preserve"> a range of services such as bitumen laying, roof painting and repairs, and the pressure cleaning of homes and driveways</w:t>
            </w:r>
            <w:r w:rsidR="00AD2215">
              <w:t>—</w:t>
            </w:r>
            <w:r w:rsidR="0053798B">
              <w:t xml:space="preserve">were </w:t>
            </w:r>
            <w:r w:rsidRPr="0006364B">
              <w:t>target</w:t>
            </w:r>
            <w:r w:rsidR="0053798B">
              <w:t>ing</w:t>
            </w:r>
            <w:r w:rsidRPr="0006364B">
              <w:t xml:space="preserve"> </w:t>
            </w:r>
            <w:r w:rsidR="00DE56B6">
              <w:t>communities experiencing vulnerability in relation to scams</w:t>
            </w:r>
            <w:r w:rsidR="00433B24">
              <w:t xml:space="preserve">. </w:t>
            </w:r>
          </w:p>
          <w:p w14:paraId="43DB96A4" w14:textId="4593BE5E" w:rsidR="002F382C" w:rsidRDefault="002F382C" w:rsidP="00FB12B9">
            <w:pPr>
              <w:pStyle w:val="BoxText"/>
              <w:jc w:val="left"/>
            </w:pPr>
            <w:r w:rsidRPr="0006364B">
              <w:t>A national travelling conmen telephone hotline</w:t>
            </w:r>
            <w:r w:rsidR="003E4CF9">
              <w:t>, website</w:t>
            </w:r>
            <w:r w:rsidR="00C56669">
              <w:t xml:space="preserve"> (</w:t>
            </w:r>
            <w:r w:rsidR="00C56669" w:rsidRPr="00C56669">
              <w:t>www.stoptravellingconmen.org)</w:t>
            </w:r>
            <w:r w:rsidRPr="0006364B">
              <w:t xml:space="preserve"> and Facebook page </w:t>
            </w:r>
            <w:r w:rsidR="00C56669">
              <w:t>(</w:t>
            </w:r>
            <w:hyperlink r:id="rId28" w:history="1">
              <w:r w:rsidR="00C56669" w:rsidRPr="00C56669">
                <w:rPr>
                  <w:rStyle w:val="Hyperlink"/>
                </w:rPr>
                <w:t>www.facebook.com/st</w:t>
              </w:r>
              <w:r w:rsidR="00C56669" w:rsidRPr="00472746">
                <w:rPr>
                  <w:rStyle w:val="Hyperlink"/>
                </w:rPr>
                <w:t>optravellingconmen</w:t>
              </w:r>
            </w:hyperlink>
            <w:r w:rsidR="00C56669">
              <w:t xml:space="preserve">) </w:t>
            </w:r>
            <w:r w:rsidRPr="0006364B">
              <w:t>were launched in October</w:t>
            </w:r>
            <w:r w:rsidR="00A243FB">
              <w:t> </w:t>
            </w:r>
            <w:r w:rsidRPr="0006364B">
              <w:t xml:space="preserve">2011 to support </w:t>
            </w:r>
            <w:r w:rsidR="000E5372">
              <w:t>compliance initiatives carried out by consumer agencies</w:t>
            </w:r>
            <w:r w:rsidR="00433B24">
              <w:t xml:space="preserve">. </w:t>
            </w:r>
            <w:r w:rsidRPr="0006364B">
              <w:t>By June</w:t>
            </w:r>
            <w:r w:rsidR="00A243FB">
              <w:t> </w:t>
            </w:r>
            <w:r w:rsidRPr="0006364B">
              <w:t>2012 the hotline had taken over 300 confirmed sightings of travelling conmen.</w:t>
            </w:r>
          </w:p>
          <w:p w14:paraId="43DB96A5" w14:textId="003DF95D" w:rsidR="002F382C" w:rsidRDefault="000E5372" w:rsidP="00FB12B9">
            <w:pPr>
              <w:pStyle w:val="BoxText"/>
              <w:jc w:val="left"/>
            </w:pPr>
            <w:r>
              <w:t>Compliance initi</w:t>
            </w:r>
            <w:r w:rsidRPr="0005195C">
              <w:t>a</w:t>
            </w:r>
            <w:r>
              <w:t>tives were highlighted through the media</w:t>
            </w:r>
            <w:r w:rsidRPr="0005195C">
              <w:t>,</w:t>
            </w:r>
            <w:r>
              <w:t xml:space="preserve"> with key newspaper coverage in </w:t>
            </w:r>
            <w:r w:rsidRPr="0005195C">
              <w:t>metro</w:t>
            </w:r>
            <w:r>
              <w:t xml:space="preserve">politan </w:t>
            </w:r>
            <w:r w:rsidRPr="0005195C">
              <w:t>and regional areas nationally, as well as nightly current affai</w:t>
            </w:r>
            <w:r>
              <w:t>rs programs covering the issue</w:t>
            </w:r>
            <w:r w:rsidRPr="0005195C">
              <w:t xml:space="preserve">. </w:t>
            </w:r>
          </w:p>
          <w:p w14:paraId="43DB96A6" w14:textId="03F8CC56" w:rsidR="000E5372" w:rsidRDefault="002D5C85" w:rsidP="002D5C85">
            <w:pPr>
              <w:pStyle w:val="ChartGraphic"/>
              <w:spacing w:after="0" w:line="240" w:lineRule="auto"/>
            </w:pPr>
            <w:r>
              <w:object w:dxaOrig="11670" w:dyaOrig="15810" w14:anchorId="23EFE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Facebook page was developed to support the 'Stop travelling conmen' campaign.  The Facebook page can be found at: www.facebook.com/stoptravellingconmen" style="width:314.25pt;height:187.5pt" o:ole="" o:allowoverlap="f">
                  <v:imagedata r:id="rId29" o:title=""/>
                </v:shape>
                <o:OLEObject Type="Embed" ProgID="PBrush" ShapeID="_x0000_i1025" DrawAspect="Content" ObjectID="_1416382190" r:id="rId30"/>
              </w:object>
            </w:r>
          </w:p>
          <w:p w14:paraId="6DB2F739" w14:textId="77777777" w:rsidR="002D5C85" w:rsidRDefault="002D5C85" w:rsidP="00B90BA1">
            <w:pPr>
              <w:pStyle w:val="ChartorTableNote"/>
              <w:ind w:firstLine="1428"/>
            </w:pPr>
            <w:r>
              <w:t xml:space="preserve">Source: </w:t>
            </w:r>
            <w:hyperlink r:id="rId31" w:history="1">
              <w:r>
                <w:rPr>
                  <w:rStyle w:val="Hyperlink"/>
                </w:rPr>
                <w:t>www.facebook.com/StopTravellingConMen</w:t>
              </w:r>
            </w:hyperlink>
          </w:p>
          <w:p w14:paraId="6E09F6E5" w14:textId="77777777" w:rsidR="000E5372" w:rsidRDefault="007A7C16" w:rsidP="002D5C85">
            <w:pPr>
              <w:pStyle w:val="ChartGraphic"/>
              <w:spacing w:after="0" w:line="240" w:lineRule="auto"/>
            </w:pPr>
            <w:r>
              <w:object w:dxaOrig="9390" w:dyaOrig="8895" w14:anchorId="2EDAB08F">
                <v:shape id="_x0000_i1026" type="#_x0000_t75" alt="A website was developed to support the 'Stop travelling conmen' campaign.  The website can be found at: www.stoptravellingconmen.org" style="width:249.75pt;height:237pt" o:ole="" o:allowoverlap="f">
                  <v:imagedata r:id="rId32" o:title=""/>
                </v:shape>
                <o:OLEObject Type="Embed" ProgID="PBrush" ShapeID="_x0000_i1026" DrawAspect="Content" ObjectID="_1416382191" r:id="rId33"/>
              </w:object>
            </w:r>
          </w:p>
          <w:p w14:paraId="43DB96B5" w14:textId="47DE5282" w:rsidR="002D5C85" w:rsidRPr="002D5C85" w:rsidRDefault="002D5C85" w:rsidP="00B90BA1">
            <w:pPr>
              <w:pStyle w:val="ChartorTableNote"/>
              <w:ind w:firstLine="2058"/>
            </w:pPr>
            <w:r>
              <w:t xml:space="preserve">Source: </w:t>
            </w:r>
            <w:hyperlink r:id="rId34" w:history="1">
              <w:r>
                <w:rPr>
                  <w:rStyle w:val="Hyperlink"/>
                </w:rPr>
                <w:t>www.stoptravellingconmen.org</w:t>
              </w:r>
            </w:hyperlink>
          </w:p>
        </w:tc>
      </w:tr>
    </w:tbl>
    <w:p w14:paraId="43DB96B7" w14:textId="77777777" w:rsidR="0062161A" w:rsidRPr="00247519" w:rsidRDefault="007F5361" w:rsidP="005F2657">
      <w:pPr>
        <w:pStyle w:val="Heading3NotNumbered"/>
      </w:pPr>
      <w:bookmarkStart w:id="77" w:name="_Toc342299525"/>
      <w:r>
        <w:lastRenderedPageBreak/>
        <w:t>Assisting consumers as they engage with the marketplace</w:t>
      </w:r>
      <w:bookmarkEnd w:id="77"/>
    </w:p>
    <w:p w14:paraId="43DB96B8" w14:textId="6005F66D" w:rsidR="005E1EA3" w:rsidRDefault="0062161A" w:rsidP="0062161A">
      <w:r w:rsidRPr="0005195C">
        <w:t>The Indig</w:t>
      </w:r>
      <w:r w:rsidR="00404C63">
        <w:t xml:space="preserve">enous </w:t>
      </w:r>
      <w:r w:rsidR="000C340F">
        <w:t>c</w:t>
      </w:r>
      <w:r w:rsidR="00404C63">
        <w:t xml:space="preserve">onsumer </w:t>
      </w:r>
      <w:r w:rsidR="000C340F">
        <w:t>i</w:t>
      </w:r>
      <w:r w:rsidR="00404C63">
        <w:t>ssues campaign</w:t>
      </w:r>
      <w:r w:rsidRPr="0005195C">
        <w:t xml:space="preserve"> commence</w:t>
      </w:r>
      <w:r w:rsidR="00404C63">
        <w:t>d</w:t>
      </w:r>
      <w:r w:rsidRPr="0005195C">
        <w:t xml:space="preserve"> in July 201</w:t>
      </w:r>
      <w:r w:rsidR="000C340F">
        <w:t>1</w:t>
      </w:r>
      <w:r w:rsidR="00D013B7">
        <w:t xml:space="preserve"> to support</w:t>
      </w:r>
      <w:r w:rsidRPr="0005195C">
        <w:t xml:space="preserve"> the needs of Indigenous consumers</w:t>
      </w:r>
      <w:r w:rsidR="00750D59">
        <w:t xml:space="preserve"> where they are subject to </w:t>
      </w:r>
      <w:r w:rsidRPr="0005195C">
        <w:t>unfair trading and high pressure sales tactics</w:t>
      </w:r>
      <w:r w:rsidR="00433B24">
        <w:t xml:space="preserve">. </w:t>
      </w:r>
      <w:r w:rsidR="00D013B7">
        <w:t>The campaign involved</w:t>
      </w:r>
      <w:r w:rsidRPr="0005195C">
        <w:t xml:space="preserve"> a series of national radio ad</w:t>
      </w:r>
      <w:r w:rsidR="00FC7C49">
        <w:t>vertisement</w:t>
      </w:r>
      <w:r w:rsidRPr="0005195C">
        <w:t>s, as well as the distribution of a reference kit fo</w:t>
      </w:r>
      <w:r w:rsidR="00D013B7">
        <w:t xml:space="preserve">r Indigenous community workers </w:t>
      </w:r>
      <w:r w:rsidRPr="0005195C">
        <w:t>includ</w:t>
      </w:r>
      <w:r w:rsidR="00D013B7">
        <w:t>ing</w:t>
      </w:r>
      <w:r w:rsidRPr="0005195C">
        <w:t xml:space="preserve"> fact sheets covering topics </w:t>
      </w:r>
      <w:r w:rsidR="00D013B7">
        <w:t>on</w:t>
      </w:r>
      <w:r w:rsidRPr="0005195C">
        <w:t xml:space="preserve"> book</w:t>
      </w:r>
      <w:r w:rsidR="00433B24">
        <w:noBreakHyphen/>
      </w:r>
      <w:r w:rsidRPr="0005195C">
        <w:t xml:space="preserve">up, mobile phones, sales practices, whitegoods, unfair business practices, as well as do not knock stickers </w:t>
      </w:r>
      <w:r w:rsidR="001D2073">
        <w:t>(see Case study 5).</w:t>
      </w:r>
    </w:p>
    <w:tbl>
      <w:tblPr>
        <w:tblStyle w:val="TableGrid"/>
        <w:tblW w:w="0" w:type="auto"/>
        <w:tblLook w:val="04A0" w:firstRow="1" w:lastRow="0" w:firstColumn="1" w:lastColumn="0" w:noHBand="0" w:noVBand="1"/>
      </w:tblPr>
      <w:tblGrid>
        <w:gridCol w:w="9286"/>
      </w:tblGrid>
      <w:tr w:rsidR="00AC5177" w14:paraId="43DB96C6" w14:textId="77777777" w:rsidTr="00AC5177">
        <w:tc>
          <w:tcPr>
            <w:tcW w:w="9286" w:type="dxa"/>
          </w:tcPr>
          <w:p w14:paraId="43DB96B9" w14:textId="77777777" w:rsidR="00AC5177" w:rsidRPr="0006364B" w:rsidRDefault="00B15266" w:rsidP="005F2657">
            <w:pPr>
              <w:pStyle w:val="BoxHeading"/>
            </w:pPr>
            <w:r>
              <w:t xml:space="preserve">Case study 5 — </w:t>
            </w:r>
            <w:r w:rsidR="00AC5177" w:rsidRPr="0006364B">
              <w:t>Indigenous consumer issues campaign</w:t>
            </w:r>
          </w:p>
          <w:p w14:paraId="43DB96BA" w14:textId="217BF6A7" w:rsidR="00AC5177" w:rsidRDefault="00AC5177" w:rsidP="00FB12B9">
            <w:pPr>
              <w:pStyle w:val="BoxText"/>
              <w:jc w:val="left"/>
            </w:pPr>
            <w:r w:rsidRPr="0006364B">
              <w:t xml:space="preserve">A joint national project </w:t>
            </w:r>
            <w:r w:rsidR="001F7790">
              <w:t>delivered</w:t>
            </w:r>
            <w:r w:rsidR="001F7790" w:rsidRPr="0006364B">
              <w:t xml:space="preserve"> </w:t>
            </w:r>
            <w:r w:rsidRPr="0006364B">
              <w:t>by EIAC and CDRAC into unfair trading practices in regional and remote Indigenous communities</w:t>
            </w:r>
            <w:r w:rsidRPr="001E1D60">
              <w:t xml:space="preserve"> was undertaken throughout 2011</w:t>
            </w:r>
            <w:r w:rsidR="00433B24">
              <w:noBreakHyphen/>
            </w:r>
            <w:r w:rsidRPr="0006364B">
              <w:t>12</w:t>
            </w:r>
            <w:r w:rsidR="00433B24">
              <w:t xml:space="preserve">. </w:t>
            </w:r>
            <w:r w:rsidRPr="001E1D60">
              <w:t>The project objective</w:t>
            </w:r>
            <w:r w:rsidRPr="0006364B">
              <w:t>s included</w:t>
            </w:r>
            <w:r>
              <w:t xml:space="preserve"> a </w:t>
            </w:r>
            <w:r w:rsidRPr="00932F8B">
              <w:t xml:space="preserve">coordinated regulatory and communications approach to raise </w:t>
            </w:r>
            <w:r>
              <w:t xml:space="preserve">awareness </w:t>
            </w:r>
            <w:r w:rsidRPr="00932F8B">
              <w:t xml:space="preserve">about the assistance that can be provided </w:t>
            </w:r>
            <w:r>
              <w:t xml:space="preserve">by consumer agencies and to </w:t>
            </w:r>
            <w:r w:rsidRPr="00932F8B">
              <w:t xml:space="preserve">encourage </w:t>
            </w:r>
            <w:r>
              <w:t xml:space="preserve">trader </w:t>
            </w:r>
            <w:r w:rsidRPr="00932F8B">
              <w:t>compliance</w:t>
            </w:r>
            <w:r>
              <w:t xml:space="preserve"> with the ACL in regional and remote Indigenous communities.</w:t>
            </w:r>
          </w:p>
          <w:p w14:paraId="43DB96BB" w14:textId="6B240BCD" w:rsidR="0030797F" w:rsidRDefault="00AC5177" w:rsidP="00FB12B9">
            <w:pPr>
              <w:pStyle w:val="BoxText"/>
              <w:jc w:val="left"/>
            </w:pPr>
            <w:r>
              <w:t>C</w:t>
            </w:r>
            <w:r w:rsidRPr="001E1D60">
              <w:t>onsumers</w:t>
            </w:r>
            <w:r>
              <w:t xml:space="preserve"> </w:t>
            </w:r>
            <w:r w:rsidR="00B16AF1">
              <w:t>from</w:t>
            </w:r>
            <w:r w:rsidR="00B16AF1" w:rsidRPr="0006364B">
              <w:t xml:space="preserve"> </w:t>
            </w:r>
            <w:r w:rsidRPr="0006364B">
              <w:t>regional and remote communities</w:t>
            </w:r>
            <w:r>
              <w:t xml:space="preserve"> </w:t>
            </w:r>
            <w:r w:rsidR="00B16AF1">
              <w:t xml:space="preserve">often </w:t>
            </w:r>
            <w:r>
              <w:t xml:space="preserve">experience </w:t>
            </w:r>
            <w:r w:rsidRPr="001330CC">
              <w:t>lack of choice and competition</w:t>
            </w:r>
            <w:r w:rsidR="00321E83">
              <w:t>,</w:t>
            </w:r>
            <w:r>
              <w:t xml:space="preserve"> and may have</w:t>
            </w:r>
            <w:r w:rsidRPr="0006364B">
              <w:t xml:space="preserve"> restricted access to services</w:t>
            </w:r>
            <w:r w:rsidR="00433B24">
              <w:t xml:space="preserve">. </w:t>
            </w:r>
            <w:r>
              <w:t>CAF Ministers</w:t>
            </w:r>
            <w:r w:rsidRPr="001330CC">
              <w:t xml:space="preserve"> </w:t>
            </w:r>
            <w:r>
              <w:t>identified t</w:t>
            </w:r>
            <w:r w:rsidRPr="001330CC">
              <w:t xml:space="preserve">he issue of high pressure sales tactics in Indigenous communities </w:t>
            </w:r>
            <w:r>
              <w:t xml:space="preserve">as a concern </w:t>
            </w:r>
            <w:r w:rsidR="009D0065">
              <w:t>which resulted in this issue being</w:t>
            </w:r>
            <w:r w:rsidR="001F7790">
              <w:t xml:space="preserve"> a</w:t>
            </w:r>
            <w:r>
              <w:t xml:space="preserve"> key focus of the campaign</w:t>
            </w:r>
            <w:r w:rsidR="00433B24">
              <w:t xml:space="preserve">. </w:t>
            </w:r>
            <w:r w:rsidRPr="001E1D60">
              <w:t xml:space="preserve">Key actions </w:t>
            </w:r>
            <w:r>
              <w:t>of the</w:t>
            </w:r>
            <w:r w:rsidRPr="0006364B">
              <w:t xml:space="preserve"> campaign included a</w:t>
            </w:r>
            <w:r>
              <w:t xml:space="preserve"> four</w:t>
            </w:r>
            <w:r w:rsidR="00433B24">
              <w:noBreakHyphen/>
            </w:r>
            <w:r>
              <w:t>week</w:t>
            </w:r>
            <w:r w:rsidRPr="0006364B">
              <w:t xml:space="preserve"> </w:t>
            </w:r>
            <w:r>
              <w:t>radio campaign delivered</w:t>
            </w:r>
            <w:r w:rsidRPr="0006364B">
              <w:t xml:space="preserve"> </w:t>
            </w:r>
            <w:r>
              <w:t>through 93 radio stations that service regional and remote communities</w:t>
            </w:r>
            <w:r w:rsidR="00433B24">
              <w:t xml:space="preserve">. </w:t>
            </w:r>
          </w:p>
          <w:p w14:paraId="43DB96BC" w14:textId="7E9F88F7" w:rsidR="00BB0CAC" w:rsidRDefault="004F23B2" w:rsidP="00FB12B9">
            <w:pPr>
              <w:pStyle w:val="BoxText"/>
              <w:jc w:val="left"/>
            </w:pPr>
            <w:r w:rsidRPr="00654DA0">
              <w:t xml:space="preserve">A specially commissioned song ‘Don’t come knocking’ was produced by </w:t>
            </w:r>
            <w:proofErr w:type="spellStart"/>
            <w:r w:rsidRPr="00654DA0">
              <w:t>AbMusic</w:t>
            </w:r>
            <w:proofErr w:type="spellEnd"/>
            <w:r w:rsidRPr="00654DA0">
              <w:t xml:space="preserve"> Corporation WA students</w:t>
            </w:r>
            <w:r w:rsidR="00433B24">
              <w:t xml:space="preserve">. </w:t>
            </w:r>
            <w:r w:rsidRPr="00654DA0">
              <w:t>A YouTube clip was made of the song as performed by the students to promote the launch of the project.</w:t>
            </w:r>
          </w:p>
          <w:p w14:paraId="43DB96BD" w14:textId="07890D47" w:rsidR="00AC5177" w:rsidRPr="0006364B" w:rsidRDefault="00AC5177" w:rsidP="00FB12B9">
            <w:pPr>
              <w:pStyle w:val="BoxText"/>
              <w:jc w:val="left"/>
            </w:pPr>
            <w:r w:rsidRPr="0006364B">
              <w:t>The aim of the campaign was to raise awareness and encourage</w:t>
            </w:r>
            <w:r>
              <w:t xml:space="preserve"> the</w:t>
            </w:r>
            <w:r w:rsidRPr="0006364B">
              <w:t xml:space="preserve"> reporting of unfair trading</w:t>
            </w:r>
            <w:r w:rsidR="00433B24">
              <w:t xml:space="preserve">. </w:t>
            </w:r>
            <w:r w:rsidR="00FA29C1">
              <w:t>Multilingual</w:t>
            </w:r>
            <w:r w:rsidRPr="0006364B">
              <w:t xml:space="preserve"> advertisements covered topics such as door</w:t>
            </w:r>
            <w:r w:rsidR="00433B24">
              <w:noBreakHyphen/>
            </w:r>
            <w:r w:rsidRPr="0006364B">
              <w:t>to</w:t>
            </w:r>
            <w:r w:rsidR="00433B24">
              <w:noBreakHyphen/>
            </w:r>
            <w:r w:rsidRPr="0006364B">
              <w:t>door sales, mobile phone sales and book</w:t>
            </w:r>
            <w:r w:rsidR="00433B24">
              <w:noBreakHyphen/>
            </w:r>
            <w:r w:rsidRPr="0006364B">
              <w:t>up</w:t>
            </w:r>
            <w:r>
              <w:t xml:space="preserve"> (short term trader credit) and included the promotion of</w:t>
            </w:r>
            <w:r w:rsidRPr="0006364B">
              <w:t xml:space="preserve"> a national hotline</w:t>
            </w:r>
            <w:r w:rsidR="00433B24">
              <w:t xml:space="preserve">. </w:t>
            </w:r>
          </w:p>
          <w:p w14:paraId="43DB96C0" w14:textId="3DA910EC" w:rsidR="00BB0CAC" w:rsidRDefault="00AC5177" w:rsidP="00FB12B9">
            <w:pPr>
              <w:pStyle w:val="BoxText"/>
              <w:jc w:val="left"/>
            </w:pPr>
            <w:r w:rsidRPr="0006364B">
              <w:t>A reference kit for Ind</w:t>
            </w:r>
            <w:r w:rsidRPr="001E1D60">
              <w:t xml:space="preserve">igenous community workers with </w:t>
            </w:r>
            <w:r>
              <w:t>five</w:t>
            </w:r>
            <w:r w:rsidRPr="0006364B">
              <w:t xml:space="preserve"> fact sheets covering the radio ad</w:t>
            </w:r>
            <w:r w:rsidR="00FA29C1">
              <w:t>vertisement</w:t>
            </w:r>
            <w:r w:rsidRPr="0006364B">
              <w:t xml:space="preserve"> topics as well as information on buying goods and unfair trading was produced and distributed through </w:t>
            </w:r>
            <w:r>
              <w:t>existing</w:t>
            </w:r>
            <w:r w:rsidRPr="0006364B">
              <w:t xml:space="preserve"> networks</w:t>
            </w:r>
            <w:r w:rsidR="00433B24">
              <w:t xml:space="preserve">. </w:t>
            </w:r>
          </w:p>
          <w:p w14:paraId="7AC3C200" w14:textId="77777777" w:rsidR="00BB0CAC" w:rsidRDefault="004B2A81" w:rsidP="00B90BA1">
            <w:pPr>
              <w:pStyle w:val="ChartGraphic"/>
              <w:spacing w:after="0" w:line="240" w:lineRule="auto"/>
            </w:pPr>
            <w:r>
              <w:object w:dxaOrig="13740" w:dyaOrig="8010" w14:anchorId="5FA239D9">
                <v:shape id="_x0000_i1027" type="#_x0000_t75" alt="State and territory consumer agencies have published a range of materials for Indigenous consumers.  This includes online publications.  For example, the NSW Fair Trading website, located at www.fairtrading.nsw.gov.au, provides specific information on Indigenous consumer issues" style="width:275.25pt;height:161.25pt;mso-position-vertical:absolute" o:ole="" o:allowoverlap="f">
                  <v:imagedata r:id="rId35" o:title=""/>
                </v:shape>
                <o:OLEObject Type="Embed" ProgID="PBrush" ShapeID="_x0000_i1027" DrawAspect="Content" ObjectID="_1416382192" r:id="rId36"/>
              </w:object>
            </w:r>
          </w:p>
          <w:p w14:paraId="43DB96C5" w14:textId="14D8C995" w:rsidR="002D5C85" w:rsidRPr="002D5C85" w:rsidRDefault="002D5C85" w:rsidP="00B90BA1">
            <w:pPr>
              <w:pStyle w:val="ChartorTableNote"/>
              <w:ind w:firstLine="1792"/>
            </w:pPr>
            <w:r>
              <w:t xml:space="preserve">Source: </w:t>
            </w:r>
            <w:hyperlink r:id="rId37" w:history="1">
              <w:r>
                <w:rPr>
                  <w:rStyle w:val="Hyperlink"/>
                </w:rPr>
                <w:t>www.fairtrading.nsw.gov.au/Indigenous.html</w:t>
              </w:r>
            </w:hyperlink>
          </w:p>
        </w:tc>
      </w:tr>
    </w:tbl>
    <w:p w14:paraId="04CB9262" w14:textId="77777777" w:rsidR="007A7C16" w:rsidRDefault="007A7C16" w:rsidP="0062161A">
      <w:pPr>
        <w:pStyle w:val="Heading1"/>
        <w:sectPr w:rsidR="007A7C16" w:rsidSect="00833E4F">
          <w:headerReference w:type="default" r:id="rId38"/>
          <w:pgSz w:w="11906" w:h="16838" w:code="9"/>
          <w:pgMar w:top="1418" w:right="1418" w:bottom="1418" w:left="1418" w:header="709" w:footer="709" w:gutter="0"/>
          <w:cols w:space="708"/>
          <w:docGrid w:linePitch="360"/>
        </w:sectPr>
      </w:pPr>
      <w:bookmarkStart w:id="78" w:name="_Toc342299526"/>
    </w:p>
    <w:p w14:paraId="43DB96C8" w14:textId="1580AF23" w:rsidR="0062161A" w:rsidRDefault="0062161A" w:rsidP="0062161A">
      <w:pPr>
        <w:pStyle w:val="Heading1"/>
      </w:pPr>
      <w:bookmarkStart w:id="79" w:name="_Toc342381490"/>
      <w:r>
        <w:lastRenderedPageBreak/>
        <w:t>Compliance and dispute resolution</w:t>
      </w:r>
      <w:bookmarkEnd w:id="78"/>
      <w:bookmarkEnd w:id="79"/>
    </w:p>
    <w:tbl>
      <w:tblPr>
        <w:tblStyle w:val="TableGrid"/>
        <w:tblW w:w="0" w:type="auto"/>
        <w:tblLook w:val="04A0" w:firstRow="1" w:lastRow="0" w:firstColumn="1" w:lastColumn="0" w:noHBand="0" w:noVBand="1"/>
      </w:tblPr>
      <w:tblGrid>
        <w:gridCol w:w="9286"/>
      </w:tblGrid>
      <w:tr w:rsidR="0062161A" w14:paraId="43DB96CB" w14:textId="77777777" w:rsidTr="0062161A">
        <w:tc>
          <w:tcPr>
            <w:tcW w:w="9286" w:type="dxa"/>
          </w:tcPr>
          <w:p w14:paraId="43DB96C9" w14:textId="77777777" w:rsidR="0062161A" w:rsidRDefault="0062161A" w:rsidP="005F2657">
            <w:pPr>
              <w:pStyle w:val="BoxHeading"/>
            </w:pPr>
            <w:bookmarkStart w:id="80" w:name="_Toc342299527"/>
            <w:r>
              <w:t>Summary</w:t>
            </w:r>
            <w:bookmarkEnd w:id="80"/>
          </w:p>
          <w:p w14:paraId="43DB96CA" w14:textId="24E88457" w:rsidR="0062161A" w:rsidRPr="0062161A" w:rsidRDefault="00C94DC5" w:rsidP="00FB12B9">
            <w:pPr>
              <w:pStyle w:val="BoxText"/>
              <w:jc w:val="left"/>
            </w:pPr>
            <w:r>
              <w:t>In 2011</w:t>
            </w:r>
            <w:r w:rsidR="00433B24">
              <w:noBreakHyphen/>
            </w:r>
            <w:r>
              <w:t>12, consumer agencies have provided coordinated action on a range</w:t>
            </w:r>
            <w:r w:rsidR="003B111A">
              <w:t xml:space="preserve"> of consumer protection matters, including by providing timely support for consumers and ensuring compliance with the ACL</w:t>
            </w:r>
            <w:r w:rsidR="00433B24">
              <w:t xml:space="preserve">. </w:t>
            </w:r>
            <w:r w:rsidR="003B111A">
              <w:t xml:space="preserve">A range of compliance </w:t>
            </w:r>
            <w:r w:rsidR="002C071A">
              <w:t>projects</w:t>
            </w:r>
            <w:r w:rsidR="004F1317">
              <w:t xml:space="preserve"> and</w:t>
            </w:r>
            <w:r w:rsidR="003B111A">
              <w:t xml:space="preserve"> targeted </w:t>
            </w:r>
            <w:r w:rsidR="002C071A">
              <w:t xml:space="preserve">campaigns were delivered nationally, including in relation to unfair contract terms, consumer guarantees, environmental claims, and trader compliance in remote communities. </w:t>
            </w:r>
          </w:p>
        </w:tc>
      </w:tr>
    </w:tbl>
    <w:p w14:paraId="43DB96CC" w14:textId="77777777" w:rsidR="0062161A" w:rsidRDefault="0062161A" w:rsidP="0062161A">
      <w:pPr>
        <w:pStyle w:val="Heading2"/>
      </w:pPr>
      <w:bookmarkStart w:id="81" w:name="_Toc342299528"/>
      <w:bookmarkStart w:id="82" w:name="_Toc342381491"/>
      <w:r>
        <w:t>Overview</w:t>
      </w:r>
      <w:bookmarkEnd w:id="81"/>
      <w:bookmarkEnd w:id="82"/>
    </w:p>
    <w:p w14:paraId="43DB96CD" w14:textId="0B923D3F" w:rsidR="00B8755C" w:rsidRDefault="0062161A" w:rsidP="00B37370">
      <w:r w:rsidRPr="000102E0">
        <w:t xml:space="preserve">CDRAC has supported CAANZ through its role in </w:t>
      </w:r>
      <w:r>
        <w:t>coordinating</w:t>
      </w:r>
      <w:r w:rsidR="00D07D7D">
        <w:t xml:space="preserve"> enforcement</w:t>
      </w:r>
      <w:r>
        <w:t xml:space="preserve"> action</w:t>
      </w:r>
      <w:r w:rsidRPr="000102E0">
        <w:t xml:space="preserve"> </w:t>
      </w:r>
      <w:r w:rsidR="00BB4EC0">
        <w:t>including</w:t>
      </w:r>
      <w:r w:rsidR="000558EA">
        <w:t xml:space="preserve"> timely response</w:t>
      </w:r>
      <w:r w:rsidR="005B1877">
        <w:t>s</w:t>
      </w:r>
      <w:r w:rsidR="000558EA">
        <w:t xml:space="preserve"> to</w:t>
      </w:r>
      <w:r>
        <w:t xml:space="preserve"> </w:t>
      </w:r>
      <w:r w:rsidR="005B1877">
        <w:t>consumer protection issues</w:t>
      </w:r>
      <w:r w:rsidR="00433B24">
        <w:t xml:space="preserve">. </w:t>
      </w:r>
      <w:r w:rsidR="005B1877">
        <w:t>CDRAC has supported consumers by delivering efficient and effective redress in response to emerging national consumer issues, including through negotiation on behalf of Australia’s consumer agencies.</w:t>
      </w:r>
    </w:p>
    <w:p w14:paraId="43DB96CE" w14:textId="77777777" w:rsidR="0062161A" w:rsidRPr="00B7618F" w:rsidRDefault="000558EA" w:rsidP="0062161A">
      <w:pPr>
        <w:pStyle w:val="Heading3"/>
      </w:pPr>
      <w:bookmarkStart w:id="83" w:name="_Toc342299529"/>
      <w:bookmarkStart w:id="84" w:name="_Toc342381492"/>
      <w:r>
        <w:t>Achieving compliance with the ACL</w:t>
      </w:r>
      <w:bookmarkEnd w:id="83"/>
      <w:bookmarkEnd w:id="84"/>
    </w:p>
    <w:p w14:paraId="43DB96CF" w14:textId="68AE7305" w:rsidR="0062161A" w:rsidRPr="0062161A" w:rsidRDefault="0062161A" w:rsidP="0062161A">
      <w:r w:rsidRPr="000102E0">
        <w:t>Work commenced on the national Unfair C</w:t>
      </w:r>
      <w:r>
        <w:t xml:space="preserve">ontract Terms project with the </w:t>
      </w:r>
      <w:r w:rsidRPr="000102E0">
        <w:t>examination of the standard form consumer contracts used by 80 online businesses</w:t>
      </w:r>
      <w:r w:rsidR="00433B24">
        <w:t xml:space="preserve">. </w:t>
      </w:r>
      <w:r w:rsidR="002A696F">
        <w:t>Consumer</w:t>
      </w:r>
      <w:r w:rsidRPr="000102E0">
        <w:t xml:space="preserve"> </w:t>
      </w:r>
      <w:r w:rsidR="006F2C5D">
        <w:t xml:space="preserve">agencies </w:t>
      </w:r>
      <w:r w:rsidR="00CF2A24">
        <w:t>have worked with</w:t>
      </w:r>
      <w:r w:rsidRPr="000102E0">
        <w:t xml:space="preserve"> businesses to amend or delete their unfair contract ter</w:t>
      </w:r>
      <w:r>
        <w:t xml:space="preserve">ms </w:t>
      </w:r>
      <w:r w:rsidR="0053798B">
        <w:t>to</w:t>
      </w:r>
      <w:r>
        <w:t xml:space="preserve"> compl</w:t>
      </w:r>
      <w:r w:rsidR="0053798B">
        <w:t>y</w:t>
      </w:r>
      <w:r>
        <w:t xml:space="preserve"> with the law.</w:t>
      </w:r>
    </w:p>
    <w:p w14:paraId="43DB96D0" w14:textId="077F6CCC" w:rsidR="0062161A" w:rsidRDefault="000558EA" w:rsidP="0062161A">
      <w:r>
        <w:t>Also, i</w:t>
      </w:r>
      <w:r w:rsidR="0062161A" w:rsidRPr="00384379">
        <w:t>n 2011</w:t>
      </w:r>
      <w:r w:rsidR="00433B24">
        <w:noBreakHyphen/>
      </w:r>
      <w:r>
        <w:t xml:space="preserve">12, </w:t>
      </w:r>
      <w:r w:rsidR="002A696F">
        <w:t>consumer</w:t>
      </w:r>
      <w:r w:rsidR="0062161A" w:rsidRPr="00384379">
        <w:t xml:space="preserve"> </w:t>
      </w:r>
      <w:r w:rsidR="007F41D0">
        <w:t>agencies</w:t>
      </w:r>
      <w:r w:rsidR="0062161A" w:rsidRPr="00384379">
        <w:t xml:space="preserve"> sought to increase consumer awareness of, and business compliance with, the consumer guarantee provisions of the ACL</w:t>
      </w:r>
      <w:r w:rsidR="00433B24">
        <w:t xml:space="preserve">. </w:t>
      </w:r>
      <w:r w:rsidR="0062161A" w:rsidRPr="00384379">
        <w:t>Throughout the year a national compliance campaign</w:t>
      </w:r>
      <w:r w:rsidR="0062161A" w:rsidRPr="00282259">
        <w:t xml:space="preserve"> </w:t>
      </w:r>
      <w:r w:rsidR="002A696F">
        <w:t>focussed</w:t>
      </w:r>
      <w:r w:rsidR="0062161A" w:rsidRPr="00384379">
        <w:t xml:space="preserve"> on 53 suppliers and manufacturers within the telecommunications, white goods and electronics industries</w:t>
      </w:r>
      <w:r w:rsidR="00433B24">
        <w:t xml:space="preserve">. </w:t>
      </w:r>
      <w:r w:rsidR="0062161A" w:rsidRPr="00384379">
        <w:t>The industries were selected following national rese</w:t>
      </w:r>
      <w:r w:rsidR="0062161A">
        <w:t xml:space="preserve">arch and </w:t>
      </w:r>
      <w:r w:rsidR="00970479">
        <w:t>businesses were selected based on complaints data</w:t>
      </w:r>
      <w:r w:rsidR="00433B24">
        <w:t xml:space="preserve">. </w:t>
      </w:r>
      <w:r w:rsidR="0062161A" w:rsidRPr="00384379">
        <w:t xml:space="preserve">Compliance activities included </w:t>
      </w:r>
      <w:r w:rsidR="00FA3F25">
        <w:t xml:space="preserve">distribution of </w:t>
      </w:r>
      <w:r w:rsidR="0062161A" w:rsidRPr="00384379">
        <w:t>educational letters, reviewing websi</w:t>
      </w:r>
      <w:r w:rsidR="0062161A">
        <w:t>tes and complaint data, attending</w:t>
      </w:r>
      <w:r w:rsidR="0062161A" w:rsidRPr="00384379">
        <w:t xml:space="preserve"> stores </w:t>
      </w:r>
      <w:r w:rsidR="0062161A">
        <w:t xml:space="preserve">and meeting with business </w:t>
      </w:r>
      <w:r w:rsidR="00FA3F25">
        <w:t>leaders</w:t>
      </w:r>
      <w:r w:rsidR="0062161A">
        <w:t xml:space="preserve">. </w:t>
      </w:r>
      <w:r w:rsidR="002A696F">
        <w:t>Consumer agencies</w:t>
      </w:r>
      <w:r w:rsidR="0062161A" w:rsidRPr="00384379">
        <w:t xml:space="preserve"> undertook mystery shopping activities to assess compliance levels</w:t>
      </w:r>
      <w:r w:rsidR="00433B24">
        <w:t xml:space="preserve">. </w:t>
      </w:r>
      <w:r w:rsidR="0062161A" w:rsidRPr="00384379">
        <w:t xml:space="preserve"> </w:t>
      </w:r>
    </w:p>
    <w:p w14:paraId="43DB96D1" w14:textId="21D494E4" w:rsidR="00B56108" w:rsidRDefault="00651F8E" w:rsidP="0062161A">
      <w:r w:rsidRPr="00B7618F">
        <w:t xml:space="preserve">CDRAC has supported CAANZ through the implementation of a national project addressing </w:t>
      </w:r>
      <w:r w:rsidR="002A696F">
        <w:t>e</w:t>
      </w:r>
      <w:r w:rsidRPr="00B7618F">
        <w:t xml:space="preserve">nvironmental </w:t>
      </w:r>
      <w:r w:rsidR="002A696F">
        <w:t>c</w:t>
      </w:r>
      <w:r w:rsidRPr="00B7618F">
        <w:t>laims</w:t>
      </w:r>
      <w:r>
        <w:t>, with a</w:t>
      </w:r>
      <w:r w:rsidRPr="00B7618F">
        <w:t xml:space="preserve"> focus on the solar</w:t>
      </w:r>
      <w:r w:rsidR="002A696F">
        <w:t xml:space="preserve"> panel</w:t>
      </w:r>
      <w:r w:rsidRPr="00B7618F">
        <w:t xml:space="preserve"> industry</w:t>
      </w:r>
      <w:r w:rsidR="00433B24">
        <w:t xml:space="preserve">. </w:t>
      </w:r>
      <w:r w:rsidRPr="00B7618F">
        <w:t>Complaint</w:t>
      </w:r>
      <w:r w:rsidR="009D3613">
        <w:t>s</w:t>
      </w:r>
      <w:r w:rsidRPr="00B7618F">
        <w:t xml:space="preserve"> data was collected and analysed </w:t>
      </w:r>
      <w:r>
        <w:t xml:space="preserve">for each jurisdiction </w:t>
      </w:r>
      <w:r w:rsidRPr="00B7618F">
        <w:t xml:space="preserve">and common complaint issues and traders </w:t>
      </w:r>
      <w:r>
        <w:t>which</w:t>
      </w:r>
      <w:r w:rsidRPr="00B7618F">
        <w:t xml:space="preserve"> attracted complaints</w:t>
      </w:r>
      <w:r>
        <w:t xml:space="preserve"> were</w:t>
      </w:r>
      <w:r w:rsidRPr="00A870B0">
        <w:t xml:space="preserve"> </w:t>
      </w:r>
      <w:r w:rsidRPr="00B7618F">
        <w:t>identified</w:t>
      </w:r>
      <w:r w:rsidR="00433B24">
        <w:t xml:space="preserve">. </w:t>
      </w:r>
      <w:r w:rsidR="009D3613">
        <w:t>Consumer</w:t>
      </w:r>
      <w:r w:rsidRPr="00B7618F">
        <w:t xml:space="preserve"> </w:t>
      </w:r>
      <w:r w:rsidR="007F41D0">
        <w:t>agencies</w:t>
      </w:r>
      <w:r w:rsidR="007F41D0" w:rsidRPr="00B7618F">
        <w:t xml:space="preserve"> </w:t>
      </w:r>
      <w:r w:rsidRPr="00B7618F">
        <w:t>wrote to all solar industry participants outlin</w:t>
      </w:r>
      <w:r w:rsidR="009D3613">
        <w:t xml:space="preserve">ing identified areas of concern, </w:t>
      </w:r>
      <w:r w:rsidRPr="00B7618F">
        <w:t>the need to comply with state or</w:t>
      </w:r>
      <w:r w:rsidR="009D3613">
        <w:t xml:space="preserve"> territory laws and regulations,</w:t>
      </w:r>
      <w:r w:rsidRPr="00B7618F">
        <w:t xml:space="preserve"> and the requirement to operate within industry rules and guidelin</w:t>
      </w:r>
      <w:r>
        <w:t>es.</w:t>
      </w:r>
    </w:p>
    <w:p w14:paraId="43DB96D2" w14:textId="77777777" w:rsidR="00B56108" w:rsidRDefault="00B56108">
      <w:pPr>
        <w:spacing w:after="0" w:line="240" w:lineRule="auto"/>
      </w:pPr>
      <w:r>
        <w:br w:type="page"/>
      </w:r>
    </w:p>
    <w:p w14:paraId="43DB96D3" w14:textId="77777777" w:rsidR="00A12B2E" w:rsidRPr="0060419A" w:rsidRDefault="00A12B2E" w:rsidP="00A12B2E">
      <w:pPr>
        <w:pStyle w:val="Heading3"/>
      </w:pPr>
      <w:bookmarkStart w:id="85" w:name="_Toc342299530"/>
      <w:bookmarkStart w:id="86" w:name="_Toc342381493"/>
      <w:r>
        <w:lastRenderedPageBreak/>
        <w:t>Providing timely support for consumers</w:t>
      </w:r>
      <w:bookmarkEnd w:id="85"/>
      <w:bookmarkEnd w:id="86"/>
    </w:p>
    <w:p w14:paraId="43DB96D4" w14:textId="47D5EA1C" w:rsidR="00A12B2E" w:rsidRDefault="00A12B2E" w:rsidP="00E92463">
      <w:r w:rsidRPr="000102E0">
        <w:t xml:space="preserve">CDRAC achieved </w:t>
      </w:r>
      <w:r>
        <w:t>positive</w:t>
      </w:r>
      <w:r w:rsidRPr="000102E0">
        <w:t xml:space="preserve"> negotiated outcomes for consumers following the ground</w:t>
      </w:r>
      <w:r>
        <w:t>ing of Tiger Airways and Qantas, as well as</w:t>
      </w:r>
      <w:r w:rsidRPr="000102E0">
        <w:t xml:space="preserve"> for consumers affected by</w:t>
      </w:r>
      <w:r>
        <w:t xml:space="preserve"> the </w:t>
      </w:r>
      <w:r w:rsidR="00DF5236">
        <w:t xml:space="preserve">voluntary </w:t>
      </w:r>
      <w:r>
        <w:t>administration of</w:t>
      </w:r>
      <w:r w:rsidRPr="000102E0">
        <w:t xml:space="preserve"> Air Australia</w:t>
      </w:r>
      <w:r w:rsidR="00433B24">
        <w:t xml:space="preserve">. </w:t>
      </w:r>
      <w:r w:rsidRPr="000102E0">
        <w:t xml:space="preserve">Through CDRAC, </w:t>
      </w:r>
      <w:r>
        <w:t>consumer</w:t>
      </w:r>
      <w:r w:rsidRPr="000102E0">
        <w:t xml:space="preserve"> </w:t>
      </w:r>
      <w:r>
        <w:t>agencies</w:t>
      </w:r>
      <w:r w:rsidRPr="000102E0">
        <w:t xml:space="preserve"> collectively represented the rights of consumers in their negotiations with the airlines, the administrator and other relevant parties</w:t>
      </w:r>
      <w:r w:rsidR="00433B24">
        <w:t xml:space="preserve">. </w:t>
      </w:r>
      <w:r w:rsidRPr="000102E0">
        <w:t xml:space="preserve">ACL </w:t>
      </w:r>
      <w:r>
        <w:t>consumer agencie</w:t>
      </w:r>
      <w:r w:rsidRPr="000102E0">
        <w:t>s achieved a range of remedies for consumers and ensured that consumers affected by these events were kept informed.</w:t>
      </w:r>
    </w:p>
    <w:tbl>
      <w:tblPr>
        <w:tblStyle w:val="TableGrid"/>
        <w:tblW w:w="0" w:type="auto"/>
        <w:tblLook w:val="04A0" w:firstRow="1" w:lastRow="0" w:firstColumn="1" w:lastColumn="0" w:noHBand="0" w:noVBand="1"/>
      </w:tblPr>
      <w:tblGrid>
        <w:gridCol w:w="9286"/>
      </w:tblGrid>
      <w:tr w:rsidR="00A12B2E" w14:paraId="43DB96DC" w14:textId="77777777" w:rsidTr="00A12B2E">
        <w:tc>
          <w:tcPr>
            <w:tcW w:w="9286" w:type="dxa"/>
          </w:tcPr>
          <w:p w14:paraId="43DB96D5" w14:textId="77777777" w:rsidR="00A12B2E" w:rsidRPr="0006364B" w:rsidRDefault="00A12B2E" w:rsidP="005F2657">
            <w:pPr>
              <w:pStyle w:val="BoxHeading"/>
            </w:pPr>
            <w:r>
              <w:t>Case study 6 — Supporting consumers affected by disruptions in the airline sector</w:t>
            </w:r>
          </w:p>
          <w:p w14:paraId="43DB96D6" w14:textId="77777777" w:rsidR="00A12B2E" w:rsidRPr="0006364B" w:rsidRDefault="00A12B2E" w:rsidP="00FB12B9">
            <w:pPr>
              <w:pStyle w:val="BoxText"/>
              <w:jc w:val="left"/>
            </w:pPr>
            <w:r w:rsidRPr="0006364B">
              <w:t>In response to the grounding of</w:t>
            </w:r>
            <w:r w:rsidRPr="001E1D60">
              <w:t xml:space="preserve"> airline services in 2011, </w:t>
            </w:r>
            <w:r>
              <w:t>consumer agencies</w:t>
            </w:r>
            <w:r w:rsidRPr="0006364B">
              <w:t xml:space="preserve"> worked together to deliver prompt outcomes for consumers. </w:t>
            </w:r>
          </w:p>
          <w:p w14:paraId="43DB96D7" w14:textId="638C5173" w:rsidR="00A12B2E" w:rsidRPr="0006364B" w:rsidRDefault="00A12B2E" w:rsidP="00FB12B9">
            <w:pPr>
              <w:pStyle w:val="BoxText"/>
              <w:jc w:val="left"/>
            </w:pPr>
            <w:r w:rsidRPr="0006364B">
              <w:t>When Tiger Airways’ Australian domestic flight</w:t>
            </w:r>
            <w:r w:rsidRPr="001E1D60">
              <w:t xml:space="preserve">s were suspended in July 2011, </w:t>
            </w:r>
            <w:r>
              <w:t>consumer agencies raised concerns</w:t>
            </w:r>
            <w:r w:rsidRPr="0006364B">
              <w:t xml:space="preserve"> with Tiger Airways about how</w:t>
            </w:r>
            <w:r w:rsidR="00605BC9">
              <w:t xml:space="preserve"> the rights of</w:t>
            </w:r>
            <w:r w:rsidRPr="0006364B">
              <w:t xml:space="preserve"> affected consumers would be </w:t>
            </w:r>
            <w:r w:rsidR="00605BC9">
              <w:t>addressed</w:t>
            </w:r>
            <w:r w:rsidR="00433B24">
              <w:t xml:space="preserve">. </w:t>
            </w:r>
            <w:r w:rsidRPr="0006364B">
              <w:t xml:space="preserve">Tiger Airways responded by committing to meet their obligations to consumers under the </w:t>
            </w:r>
            <w:r>
              <w:t>ACL.</w:t>
            </w:r>
          </w:p>
          <w:p w14:paraId="43DB96D8" w14:textId="1D9E6843" w:rsidR="00A12B2E" w:rsidRPr="0006364B" w:rsidRDefault="00A12B2E" w:rsidP="00FB12B9">
            <w:pPr>
              <w:pStyle w:val="BoxText"/>
              <w:jc w:val="left"/>
            </w:pPr>
            <w:r>
              <w:t>Consumer agencies</w:t>
            </w:r>
            <w:r w:rsidRPr="0006364B">
              <w:t xml:space="preserve"> </w:t>
            </w:r>
            <w:r w:rsidR="00605BC9">
              <w:t>negotiated</w:t>
            </w:r>
            <w:r w:rsidRPr="0006364B">
              <w:t xml:space="preserve"> with Tiger Airways to arrange full refunds for affected customers, and to ensure appropriate external communication mechanisms were in place so consumers were aware of their rights</w:t>
            </w:r>
            <w:r w:rsidR="00433B24">
              <w:t xml:space="preserve">. </w:t>
            </w:r>
            <w:r w:rsidR="00605BC9">
              <w:t xml:space="preserve">It was also agreed that </w:t>
            </w:r>
            <w:r w:rsidRPr="0006364B">
              <w:t xml:space="preserve">Tiger Airways </w:t>
            </w:r>
            <w:r w:rsidR="00605BC9">
              <w:t>would keep consumer</w:t>
            </w:r>
            <w:r w:rsidRPr="0006364B">
              <w:t xml:space="preserve"> </w:t>
            </w:r>
            <w:r>
              <w:t>agencies</w:t>
            </w:r>
            <w:r w:rsidRPr="0006364B">
              <w:t xml:space="preserve"> informed </w:t>
            </w:r>
            <w:r w:rsidR="00605BC9">
              <w:t>through</w:t>
            </w:r>
            <w:r w:rsidRPr="0006364B">
              <w:t xml:space="preserve"> regular reports on the progress of refunds</w:t>
            </w:r>
            <w:r w:rsidR="00605BC9">
              <w:t xml:space="preserve"> to affected consumers</w:t>
            </w:r>
            <w:r w:rsidRPr="0006364B">
              <w:t xml:space="preserve">. </w:t>
            </w:r>
          </w:p>
          <w:p w14:paraId="43DB96D9" w14:textId="72EBE31D" w:rsidR="00A12B2E" w:rsidRPr="0006364B" w:rsidRDefault="00A12B2E" w:rsidP="00FB12B9">
            <w:pPr>
              <w:pStyle w:val="BoxText"/>
              <w:jc w:val="left"/>
            </w:pPr>
            <w:r w:rsidRPr="0006364B">
              <w:t>After the grounding of the Qan</w:t>
            </w:r>
            <w:r w:rsidRPr="001E1D60">
              <w:t>tas fle</w:t>
            </w:r>
            <w:r>
              <w:t>et in October 2011, consumer</w:t>
            </w:r>
            <w:r w:rsidRPr="001E1D60">
              <w:t xml:space="preserve"> </w:t>
            </w:r>
            <w:r>
              <w:t>agencie</w:t>
            </w:r>
            <w:r w:rsidRPr="0006364B">
              <w:t>s made immediate contact with Qantas to ensure consumer remedies were sufficient</w:t>
            </w:r>
            <w:r w:rsidR="00433B24">
              <w:t xml:space="preserve">. </w:t>
            </w:r>
            <w:r>
              <w:t>Consumer</w:t>
            </w:r>
            <w:r w:rsidRPr="001E1D60">
              <w:t xml:space="preserve"> </w:t>
            </w:r>
            <w:r>
              <w:t>agencies negotiated</w:t>
            </w:r>
            <w:r w:rsidRPr="0006364B">
              <w:t xml:space="preserve"> a common position on what was expected of Qant</w:t>
            </w:r>
            <w:r w:rsidRPr="001E1D60">
              <w:t>as</w:t>
            </w:r>
            <w:r w:rsidRPr="0006364B">
              <w:t>, notwithstanding that the grounding was announced on a weekend</w:t>
            </w:r>
            <w:r w:rsidR="00433B24">
              <w:t xml:space="preserve">. </w:t>
            </w:r>
            <w:r w:rsidRPr="0006364B">
              <w:t xml:space="preserve">Negotiations led to Qantas extending its offer of refunds and compensation for reasonable losses to any consumer that was affected by the grounding. </w:t>
            </w:r>
          </w:p>
          <w:p w14:paraId="43DB96DA" w14:textId="3FA07672" w:rsidR="00A12B2E" w:rsidRPr="0006364B" w:rsidRDefault="00A12B2E" w:rsidP="00FB12B9">
            <w:pPr>
              <w:pStyle w:val="BoxText"/>
              <w:jc w:val="left"/>
            </w:pPr>
            <w:r w:rsidRPr="0006364B">
              <w:t xml:space="preserve">Qantas provided regular updates to </w:t>
            </w:r>
            <w:r>
              <w:t>consumer</w:t>
            </w:r>
            <w:r w:rsidRPr="0006364B">
              <w:t xml:space="preserve"> </w:t>
            </w:r>
            <w:r>
              <w:t>agencies</w:t>
            </w:r>
            <w:r w:rsidRPr="0006364B">
              <w:t xml:space="preserve"> </w:t>
            </w:r>
            <w:r>
              <w:t>in relation to</w:t>
            </w:r>
            <w:r w:rsidRPr="0006364B">
              <w:t xml:space="preserve"> customer refunds and compensation claims</w:t>
            </w:r>
            <w:r w:rsidR="00433B24">
              <w:t xml:space="preserve">. </w:t>
            </w:r>
            <w:r>
              <w:t>Consumer agencies</w:t>
            </w:r>
            <w:r w:rsidRPr="0006364B">
              <w:t xml:space="preserve"> monitored</w:t>
            </w:r>
            <w:r>
              <w:t xml:space="preserve"> the process</w:t>
            </w:r>
            <w:r w:rsidRPr="0006364B">
              <w:t xml:space="preserve"> to ensur</w:t>
            </w:r>
            <w:r>
              <w:t>e</w:t>
            </w:r>
            <w:r w:rsidRPr="0006364B">
              <w:t xml:space="preserve"> customer claims were managed in a timely fashion.</w:t>
            </w:r>
          </w:p>
          <w:p w14:paraId="43DB96DB" w14:textId="77777777" w:rsidR="00A12B2E" w:rsidRDefault="00A12B2E" w:rsidP="00FB12B9">
            <w:pPr>
              <w:pStyle w:val="BoxText"/>
              <w:jc w:val="left"/>
            </w:pPr>
            <w:r>
              <w:t>The structured governance arrangements already established under CAANZ facilitated an efficient response that provided</w:t>
            </w:r>
            <w:r w:rsidR="00605BC9">
              <w:t xml:space="preserve"> positive outcomes for consumers and</w:t>
            </w:r>
            <w:r w:rsidRPr="0006364B">
              <w:t xml:space="preserve"> demonstrat</w:t>
            </w:r>
            <w:r w:rsidR="00605BC9">
              <w:t xml:space="preserve">ed </w:t>
            </w:r>
            <w:r>
              <w:t>effective</w:t>
            </w:r>
            <w:r w:rsidRPr="0006364B">
              <w:t xml:space="preserve"> collaboration between regulators under the </w:t>
            </w:r>
            <w:r>
              <w:t>ACL</w:t>
            </w:r>
            <w:r w:rsidRPr="0006364B">
              <w:t>.</w:t>
            </w:r>
          </w:p>
        </w:tc>
      </w:tr>
    </w:tbl>
    <w:p w14:paraId="43DB96DD" w14:textId="77777777" w:rsidR="0062161A" w:rsidRPr="00B7618F" w:rsidRDefault="00823DDB" w:rsidP="0062161A">
      <w:pPr>
        <w:pStyle w:val="Heading3"/>
      </w:pPr>
      <w:bookmarkStart w:id="87" w:name="_Toc342299531"/>
      <w:bookmarkStart w:id="88" w:name="_Toc342381494"/>
      <w:r>
        <w:t>Responding to unfair trader practices</w:t>
      </w:r>
      <w:bookmarkEnd w:id="87"/>
      <w:bookmarkEnd w:id="88"/>
    </w:p>
    <w:p w14:paraId="43DB96DE" w14:textId="65832D84" w:rsidR="0062161A" w:rsidRPr="00B7618F" w:rsidRDefault="00BD7BE1" w:rsidP="0062161A">
      <w:r>
        <w:t>The Indigenous c</w:t>
      </w:r>
      <w:r w:rsidR="00823DDB">
        <w:t xml:space="preserve">onsumer </w:t>
      </w:r>
      <w:r>
        <w:t>i</w:t>
      </w:r>
      <w:r w:rsidR="00823DDB">
        <w:t>ssues</w:t>
      </w:r>
      <w:r w:rsidR="0062161A" w:rsidRPr="00B7618F">
        <w:t xml:space="preserve"> project aim</w:t>
      </w:r>
      <w:r w:rsidR="00823DDB">
        <w:t>ed</w:t>
      </w:r>
      <w:r w:rsidR="0062161A" w:rsidRPr="00B7618F">
        <w:t xml:space="preserve"> to address unfair trader practices that utilise high pressure sales tec</w:t>
      </w:r>
      <w:r w:rsidR="007C2216">
        <w:t>hniques in regional and remote I</w:t>
      </w:r>
      <w:r w:rsidR="0062161A" w:rsidRPr="00B7618F">
        <w:t>ndigenous communities</w:t>
      </w:r>
      <w:r w:rsidR="00433B24">
        <w:t xml:space="preserve">. </w:t>
      </w:r>
      <w:r w:rsidR="000F6CB4">
        <w:t xml:space="preserve">The central goal of this project was </w:t>
      </w:r>
      <w:r w:rsidR="0062161A" w:rsidRPr="00B7618F">
        <w:t>to increase the awareness of communit</w:t>
      </w:r>
      <w:r w:rsidR="009C0106">
        <w:t>ies</w:t>
      </w:r>
      <w:r w:rsidR="0062161A" w:rsidRPr="00B7618F">
        <w:t xml:space="preserve"> and their support networks about combating unfair practices</w:t>
      </w:r>
      <w:r w:rsidR="00433B24">
        <w:t xml:space="preserve">. </w:t>
      </w:r>
      <w:r w:rsidR="0062161A" w:rsidRPr="00B7618F">
        <w:t xml:space="preserve">CDRAC </w:t>
      </w:r>
      <w:r w:rsidR="009C0106">
        <w:t xml:space="preserve">has </w:t>
      </w:r>
      <w:r w:rsidR="00823DDB">
        <w:t xml:space="preserve">worked to </w:t>
      </w:r>
      <w:r w:rsidR="0062161A" w:rsidRPr="00B7618F">
        <w:t>identify whether targeted traders have engaged in breaches of the ACL</w:t>
      </w:r>
      <w:r w:rsidR="00433B24">
        <w:t xml:space="preserve">. </w:t>
      </w:r>
      <w:r w:rsidR="0062161A" w:rsidRPr="00B7618F">
        <w:t xml:space="preserve">Traders </w:t>
      </w:r>
      <w:r w:rsidR="00FA3F25">
        <w:t>were</w:t>
      </w:r>
      <w:r w:rsidR="0062161A" w:rsidRPr="00B7618F">
        <w:t xml:space="preserve"> assessed for their compliance with </w:t>
      </w:r>
      <w:r w:rsidR="0062161A">
        <w:t xml:space="preserve">those parts of the ACL dealing with </w:t>
      </w:r>
      <w:r w:rsidR="0062161A" w:rsidRPr="00B7618F">
        <w:t>unfair contract</w:t>
      </w:r>
      <w:r w:rsidR="0062161A">
        <w:t xml:space="preserve"> term</w:t>
      </w:r>
      <w:r w:rsidR="0062161A" w:rsidRPr="00B7618F">
        <w:t>s, false or misleading representations and unsolicited consumer agreements.</w:t>
      </w:r>
    </w:p>
    <w:p w14:paraId="43DB96DF" w14:textId="323DC9E8" w:rsidR="0062161A" w:rsidRDefault="0062161A" w:rsidP="0062161A">
      <w:r w:rsidRPr="00B7618F">
        <w:t>The ACCC host</w:t>
      </w:r>
      <w:r w:rsidR="00FA3F25">
        <w:t>ed</w:t>
      </w:r>
      <w:r w:rsidR="00BD7BE1">
        <w:t xml:space="preserve"> a national hotline</w:t>
      </w:r>
      <w:r w:rsidRPr="00B7618F">
        <w:t xml:space="preserve"> which enable</w:t>
      </w:r>
      <w:r w:rsidR="00FA3F25">
        <w:t>d</w:t>
      </w:r>
      <w:r w:rsidRPr="00B7618F">
        <w:t xml:space="preserve"> reports of traders breaching the ACL to be assessed and dealt with by all participating agencies</w:t>
      </w:r>
      <w:r w:rsidR="00433B24">
        <w:t xml:space="preserve">. </w:t>
      </w:r>
      <w:r w:rsidRPr="00B7618F">
        <w:t xml:space="preserve">Investigators </w:t>
      </w:r>
      <w:r w:rsidR="00CF2A24">
        <w:t>focused</w:t>
      </w:r>
      <w:r w:rsidRPr="00B7618F">
        <w:t xml:space="preserve"> on identifying patterns of conduct </w:t>
      </w:r>
      <w:r w:rsidR="005E0729">
        <w:t xml:space="preserve">to </w:t>
      </w:r>
      <w:r w:rsidR="00BD7BE1">
        <w:t>facilitate strategic enforcement</w:t>
      </w:r>
      <w:r w:rsidR="00433B24">
        <w:t xml:space="preserve">. </w:t>
      </w:r>
      <w:r w:rsidRPr="00B7618F">
        <w:t xml:space="preserve">The intelligence gathering phase of the </w:t>
      </w:r>
      <w:r w:rsidRPr="00B7618F">
        <w:lastRenderedPageBreak/>
        <w:t>pilot project was conducted in Ap</w:t>
      </w:r>
      <w:r w:rsidR="00CF2A24">
        <w:t>ril 2012</w:t>
      </w:r>
      <w:r w:rsidR="00433B24">
        <w:t xml:space="preserve">. </w:t>
      </w:r>
      <w:r w:rsidR="00CF2A24">
        <w:t xml:space="preserve">Field inspections </w:t>
      </w:r>
      <w:r w:rsidR="00CF2A24" w:rsidRPr="00B7618F">
        <w:t>occur</w:t>
      </w:r>
      <w:r w:rsidR="00CF2A24">
        <w:t>red</w:t>
      </w:r>
      <w:r w:rsidRPr="00B7618F">
        <w:t xml:space="preserve"> </w:t>
      </w:r>
      <w:r w:rsidR="002F4B48">
        <w:t xml:space="preserve">throughout June and July 2012 and </w:t>
      </w:r>
      <w:r w:rsidRPr="00B7618F">
        <w:t xml:space="preserve">21 traders of interest </w:t>
      </w:r>
      <w:r w:rsidR="002F4B48">
        <w:t>have been identified</w:t>
      </w:r>
      <w:r w:rsidRPr="00B7618F">
        <w:t>.</w:t>
      </w:r>
    </w:p>
    <w:p w14:paraId="43DB96E0" w14:textId="14B9826D" w:rsidR="000F6CB4" w:rsidRDefault="000F6CB4" w:rsidP="0062161A">
      <w:r>
        <w:t>Consumer agencies have actively sought redress for consumers experiencing difficulties with traders that have failed to act in accordance with their obligations under the ACL</w:t>
      </w:r>
      <w:r w:rsidR="00433B24">
        <w:t xml:space="preserve">. </w:t>
      </w:r>
      <w:r>
        <w:t>Case study 7 provides an overview of enforcement outcomes including a number of examples of enforcement activities to highlight the breadth of collective enforcement outcomes secured in the second year of the ACL.</w:t>
      </w:r>
    </w:p>
    <w:tbl>
      <w:tblPr>
        <w:tblStyle w:val="TableGrid"/>
        <w:tblW w:w="0" w:type="auto"/>
        <w:tblLook w:val="04A0" w:firstRow="1" w:lastRow="0" w:firstColumn="1" w:lastColumn="0" w:noHBand="0" w:noVBand="1"/>
      </w:tblPr>
      <w:tblGrid>
        <w:gridCol w:w="9286"/>
      </w:tblGrid>
      <w:tr w:rsidR="00170010" w14:paraId="43DB9705" w14:textId="77777777" w:rsidTr="00170010">
        <w:tc>
          <w:tcPr>
            <w:tcW w:w="9286" w:type="dxa"/>
          </w:tcPr>
          <w:p w14:paraId="43DB96E1" w14:textId="77777777" w:rsidR="00170010" w:rsidRPr="00AA783F" w:rsidRDefault="00B15266" w:rsidP="005F2657">
            <w:pPr>
              <w:pStyle w:val="BoxHeading"/>
            </w:pPr>
            <w:r>
              <w:lastRenderedPageBreak/>
              <w:t xml:space="preserve">Case study 7 — </w:t>
            </w:r>
            <w:r w:rsidR="00170010" w:rsidRPr="00AA783F">
              <w:t>ACL Enforcement Outcomes</w:t>
            </w:r>
          </w:p>
          <w:p w14:paraId="43DB96E2" w14:textId="7F088540" w:rsidR="006E1873" w:rsidRDefault="006E1873" w:rsidP="00FB12B9">
            <w:pPr>
              <w:pStyle w:val="BoxText"/>
              <w:jc w:val="left"/>
            </w:pPr>
            <w:r>
              <w:t>The ACL contains penalties, enforcement powers and consumer redress options which enhance the ability for regulators to enforce the ACL and for effective remedies to be recovered for parties affected by a breach</w:t>
            </w:r>
            <w:r w:rsidR="00433B24">
              <w:t xml:space="preserve">. </w:t>
            </w:r>
            <w:r>
              <w:t>These powers and remedies include:</w:t>
            </w:r>
          </w:p>
          <w:p w14:paraId="43DB96E3" w14:textId="77777777" w:rsidR="006E1873" w:rsidRDefault="006E1873" w:rsidP="00FB12B9">
            <w:pPr>
              <w:pStyle w:val="Bullet"/>
              <w:jc w:val="left"/>
            </w:pPr>
            <w:r>
              <w:t>enforceable undertakings;</w:t>
            </w:r>
          </w:p>
          <w:p w14:paraId="43DB96E4" w14:textId="77777777" w:rsidR="006E1873" w:rsidRDefault="006E1873" w:rsidP="00FB12B9">
            <w:pPr>
              <w:pStyle w:val="Bullet"/>
              <w:jc w:val="left"/>
            </w:pPr>
            <w:r>
              <w:t>substantiation, infringement and public warning notices;</w:t>
            </w:r>
          </w:p>
          <w:p w14:paraId="43DB96E5" w14:textId="77777777" w:rsidR="006E1873" w:rsidRDefault="006E1873" w:rsidP="00FB12B9">
            <w:pPr>
              <w:pStyle w:val="Bullet"/>
              <w:jc w:val="left"/>
            </w:pPr>
            <w:r>
              <w:t xml:space="preserve">civil pecuniary penalties and criminal penalties of up to $1.1 million for a body corporate and $220,000 for an individual; </w:t>
            </w:r>
          </w:p>
          <w:p w14:paraId="43DB96E6" w14:textId="77777777" w:rsidR="006E1873" w:rsidRDefault="006E1873" w:rsidP="00FB12B9">
            <w:pPr>
              <w:pStyle w:val="Bullet"/>
              <w:jc w:val="left"/>
            </w:pPr>
            <w:r>
              <w:t>damages and injunctions;</w:t>
            </w:r>
          </w:p>
          <w:p w14:paraId="43DB96E7" w14:textId="7D8F177F" w:rsidR="006E1873" w:rsidRDefault="006E1873" w:rsidP="00FB12B9">
            <w:pPr>
              <w:pStyle w:val="Bullet"/>
              <w:jc w:val="left"/>
            </w:pPr>
            <w:r>
              <w:t>orders for non</w:t>
            </w:r>
            <w:r w:rsidR="00433B24">
              <w:noBreakHyphen/>
            </w:r>
            <w:r>
              <w:t>party redress;</w:t>
            </w:r>
          </w:p>
          <w:p w14:paraId="43DB96E8" w14:textId="186C2750" w:rsidR="006E1873" w:rsidRDefault="006E1873" w:rsidP="00FB12B9">
            <w:pPr>
              <w:pStyle w:val="Bullet"/>
              <w:jc w:val="left"/>
            </w:pPr>
            <w:r>
              <w:t>adverse publicity and non</w:t>
            </w:r>
            <w:r w:rsidR="00433B24">
              <w:noBreakHyphen/>
            </w:r>
            <w:r>
              <w:t>punitive orders; and</w:t>
            </w:r>
          </w:p>
          <w:p w14:paraId="43DB96E9" w14:textId="77777777" w:rsidR="006E1873" w:rsidRDefault="006E1873" w:rsidP="00FB12B9">
            <w:pPr>
              <w:pStyle w:val="Bullet"/>
              <w:jc w:val="left"/>
            </w:pPr>
            <w:r>
              <w:t xml:space="preserve">disqualification orders from managing corporations. </w:t>
            </w:r>
          </w:p>
          <w:p w14:paraId="43DB96EA" w14:textId="40221E70" w:rsidR="006E1873" w:rsidRDefault="006E1873" w:rsidP="00FB12B9">
            <w:pPr>
              <w:pStyle w:val="BoxText"/>
              <w:jc w:val="left"/>
            </w:pPr>
            <w:r>
              <w:t>The penalties, enforcement powers and remedies available under the ACL allows for effective enforcement by regulators, greater consistency in how matters are enforced and how powers and remedies are applied, and access to enhanced redress options for affected parties</w:t>
            </w:r>
            <w:r w:rsidR="00433B24">
              <w:t xml:space="preserve">. </w:t>
            </w:r>
            <w:r w:rsidRPr="00AA783F">
              <w:t>In 2011</w:t>
            </w:r>
            <w:r w:rsidR="00433B24">
              <w:noBreakHyphen/>
            </w:r>
            <w:r w:rsidRPr="00AA783F">
              <w:t>12</w:t>
            </w:r>
            <w:r w:rsidR="004371E2">
              <w:t>,</w:t>
            </w:r>
            <w:r w:rsidRPr="00AA783F">
              <w:t xml:space="preserve"> </w:t>
            </w:r>
            <w:r w:rsidR="000D7BE1">
              <w:t>consumer</w:t>
            </w:r>
            <w:r>
              <w:t xml:space="preserve"> </w:t>
            </w:r>
            <w:r w:rsidR="007F41D0">
              <w:t>agencies</w:t>
            </w:r>
            <w:r>
              <w:t xml:space="preserve"> o</w:t>
            </w:r>
            <w:r w:rsidRPr="00AA783F">
              <w:t>btained orders for civil pecuniary pen</w:t>
            </w:r>
            <w:r>
              <w:t>alties for breaches of the ACL and i</w:t>
            </w:r>
            <w:r w:rsidRPr="00AA783F">
              <w:t>ssu</w:t>
            </w:r>
            <w:r>
              <w:t xml:space="preserve">ed </w:t>
            </w:r>
            <w:r w:rsidRPr="00AA783F">
              <w:t>infringement notices with penalties</w:t>
            </w:r>
            <w:r>
              <w:t xml:space="preserve"> of</w:t>
            </w:r>
            <w:r w:rsidRPr="00AA783F">
              <w:t xml:space="preserve"> over $</w:t>
            </w:r>
            <w:r w:rsidR="00417E28">
              <w:t>200,000 recovered.</w:t>
            </w:r>
          </w:p>
          <w:p w14:paraId="43DB96EB" w14:textId="77777777" w:rsidR="00D33831" w:rsidRPr="005F2657" w:rsidRDefault="009C0106" w:rsidP="005F2657">
            <w:pPr>
              <w:pStyle w:val="BoxHeading"/>
              <w:rPr>
                <w:i/>
              </w:rPr>
            </w:pPr>
            <w:r w:rsidRPr="005F2657">
              <w:rPr>
                <w:i/>
              </w:rPr>
              <w:t>Example</w:t>
            </w:r>
            <w:r w:rsidR="00417E28" w:rsidRPr="005F2657">
              <w:rPr>
                <w:i/>
              </w:rPr>
              <w:t xml:space="preserve"> 1</w:t>
            </w:r>
          </w:p>
          <w:p w14:paraId="43DB96EC" w14:textId="010A3E1C" w:rsidR="00D33831" w:rsidRDefault="00D33831" w:rsidP="00FB12B9">
            <w:pPr>
              <w:pStyle w:val="BoxText"/>
              <w:jc w:val="left"/>
            </w:pPr>
            <w:r>
              <w:t>Consumer P</w:t>
            </w:r>
            <w:r w:rsidR="00417E28">
              <w:t>rotection Western Australia (CP</w:t>
            </w:r>
            <w:r>
              <w:t xml:space="preserve">WA) commenced injunctive action in May 2011 to prevent </w:t>
            </w:r>
            <w:r w:rsidR="00117032">
              <w:t xml:space="preserve">a </w:t>
            </w:r>
            <w:r>
              <w:t>defendant from selling diseased animals</w:t>
            </w:r>
            <w:r w:rsidR="00433B24">
              <w:t xml:space="preserve">. </w:t>
            </w:r>
            <w:r>
              <w:t>In June 2011, the litigation was settled on the basis that the defendant enter into an enforceable undertaking which prevented the defendant from selling or offering to sell any animal unless certain conditions were met.</w:t>
            </w:r>
          </w:p>
          <w:p w14:paraId="1F3D9DFA" w14:textId="1F143CE9" w:rsidR="00302A2E" w:rsidRDefault="00D33831" w:rsidP="00FB12B9">
            <w:pPr>
              <w:pStyle w:val="BoxText"/>
              <w:jc w:val="left"/>
            </w:pPr>
            <w:r>
              <w:t>Following the giving of the enforceable undertaking, the defendant continued to sell diseased animals in breach of the undertaking. In April 2012, CPWA commenced acti</w:t>
            </w:r>
            <w:r w:rsidR="00302A2E">
              <w:t xml:space="preserve">on to enforce the undertaking. </w:t>
            </w:r>
          </w:p>
          <w:p w14:paraId="6F00282A" w14:textId="77777777" w:rsidR="003E0603" w:rsidRDefault="003E0603" w:rsidP="003E0603">
            <w:r>
              <w:t>In August 2012 the Supreme Court of WA granted an injunction requiring that the trader stop selling diseased animals and ordered compensation be paid to affected consumers.</w:t>
            </w:r>
          </w:p>
          <w:p w14:paraId="3A191324" w14:textId="33C41B27" w:rsidR="003E0603" w:rsidRDefault="003E0603" w:rsidP="003E0603">
            <w:pPr>
              <w:pStyle w:val="BoxText"/>
              <w:jc w:val="left"/>
            </w:pPr>
            <w:r>
              <w:t>In November 2012, CPWA took further action under the Animal Welfare Act and the trader is now banned from owning more than one dog, was fined $34,000 and court costs of $9</w:t>
            </w:r>
            <w:r w:rsidR="00E605A5">
              <w:t>,</w:t>
            </w:r>
            <w:r>
              <w:t>500 were imposed.</w:t>
            </w:r>
          </w:p>
          <w:p w14:paraId="43DB96EE" w14:textId="6D3615FE" w:rsidR="00D33831" w:rsidRPr="00302A2E" w:rsidRDefault="009C0106" w:rsidP="00302A2E">
            <w:pPr>
              <w:pStyle w:val="BoxHeading"/>
              <w:rPr>
                <w:i/>
              </w:rPr>
            </w:pPr>
            <w:r w:rsidRPr="00302A2E">
              <w:rPr>
                <w:i/>
              </w:rPr>
              <w:t>Example</w:t>
            </w:r>
            <w:r w:rsidR="00417E28" w:rsidRPr="00302A2E">
              <w:rPr>
                <w:i/>
              </w:rPr>
              <w:t xml:space="preserve"> 2</w:t>
            </w:r>
          </w:p>
          <w:p w14:paraId="43DB9704" w14:textId="77641DF6" w:rsidR="008567B4" w:rsidRPr="008567B4" w:rsidRDefault="00D33831" w:rsidP="008567B4">
            <w:pPr>
              <w:pStyle w:val="BoxText"/>
              <w:jc w:val="left"/>
            </w:pPr>
            <w:r w:rsidRPr="00B37370">
              <w:t>Columbus Sales Group Pty Ltd and Aqua Conscious Pty Ltd marketed and sold 830 rainwater tanks, some with fre</w:t>
            </w:r>
            <w:r w:rsidR="00BB0417">
              <w:t>e TV and DVD incentive packages</w:t>
            </w:r>
            <w:r w:rsidR="00433B24">
              <w:t xml:space="preserve">. </w:t>
            </w:r>
            <w:r w:rsidRPr="00B37370">
              <w:t xml:space="preserve">None of the TV or DVD incentives were supplied and less than </w:t>
            </w:r>
            <w:r w:rsidR="00BB0417">
              <w:t>fifty</w:t>
            </w:r>
            <w:r w:rsidRPr="00B37370">
              <w:t xml:space="preserve"> tanks were delivered to consumers</w:t>
            </w:r>
            <w:r w:rsidR="00433B24">
              <w:t xml:space="preserve">. </w:t>
            </w:r>
            <w:r w:rsidRPr="00B37370">
              <w:t>Columb</w:t>
            </w:r>
            <w:r w:rsidR="00BB0417">
              <w:t>us and Aqua Conscious refunded eight</w:t>
            </w:r>
            <w:r w:rsidRPr="00B37370">
              <w:t xml:space="preserve"> consumers, however failed to refund the remainder. </w:t>
            </w:r>
          </w:p>
        </w:tc>
      </w:tr>
    </w:tbl>
    <w:p w14:paraId="15ED473A" w14:textId="0917E8EC" w:rsidR="008567B4" w:rsidRDefault="008567B4"/>
    <w:tbl>
      <w:tblPr>
        <w:tblW w:w="9072" w:type="dxa"/>
        <w:tblInd w:w="108" w:type="dxa"/>
        <w:shd w:val="clear" w:color="auto" w:fill="E6E6E6"/>
        <w:tblLook w:val="01E0" w:firstRow="1" w:lastRow="1" w:firstColumn="1" w:lastColumn="1" w:noHBand="0" w:noVBand="0"/>
      </w:tblPr>
      <w:tblGrid>
        <w:gridCol w:w="9072"/>
      </w:tblGrid>
      <w:tr w:rsidR="008567B4" w14:paraId="7273D69A" w14:textId="77777777">
        <w:tc>
          <w:tcPr>
            <w:tcW w:w="5000" w:type="pct"/>
            <w:shd w:val="clear" w:color="auto" w:fill="E6E6E6"/>
          </w:tcPr>
          <w:p w14:paraId="282DE812" w14:textId="77777777" w:rsidR="008567B4" w:rsidRPr="00AA783F" w:rsidRDefault="008567B4" w:rsidP="008567B4">
            <w:pPr>
              <w:pStyle w:val="BoxHeading"/>
            </w:pPr>
            <w:r>
              <w:lastRenderedPageBreak/>
              <w:t xml:space="preserve">Case study 7 — </w:t>
            </w:r>
            <w:r w:rsidRPr="00AA783F">
              <w:t>ACL Enforcement Outcomes</w:t>
            </w:r>
            <w:r>
              <w:t xml:space="preserve"> (continued)</w:t>
            </w:r>
          </w:p>
          <w:p w14:paraId="103615C0" w14:textId="77777777" w:rsidR="008567B4" w:rsidRDefault="008567B4" w:rsidP="008567B4">
            <w:pPr>
              <w:pStyle w:val="BoxText"/>
            </w:pPr>
            <w:r w:rsidRPr="00B37370">
              <w:t>On 10 January 2011 NSW Fair Trading commenced injunctive procee</w:t>
            </w:r>
            <w:r>
              <w:t xml:space="preserve">dings in the NSW Supreme Court </w:t>
            </w:r>
            <w:r w:rsidRPr="00B37370">
              <w:t xml:space="preserve">under section 64 of the </w:t>
            </w:r>
            <w:r w:rsidRPr="00B37370">
              <w:rPr>
                <w:i/>
              </w:rPr>
              <w:t>Fair Trading Act 1987 (NSW)</w:t>
            </w:r>
            <w:r w:rsidRPr="00B37370">
              <w:t xml:space="preserve"> and section 232 of the ACL seeking to restrain further conduct by the defendants and to freeze approximately $60,000</w:t>
            </w:r>
            <w:r>
              <w:t xml:space="preserve"> in funds. T</w:t>
            </w:r>
            <w:r w:rsidRPr="00B37370">
              <w:t xml:space="preserve">he Court made </w:t>
            </w:r>
            <w:r w:rsidRPr="000317CC">
              <w:t>interlocutory orders</w:t>
            </w:r>
            <w:r w:rsidRPr="00B37370">
              <w:t xml:space="preserve"> as requested by NSW Fair Trading and also orders freezing the bank account</w:t>
            </w:r>
            <w:r>
              <w:t xml:space="preserve">. </w:t>
            </w:r>
            <w:r w:rsidRPr="00B37370">
              <w:t>On 4 May 2011, the Court granted orders restraining the companies from representing that they had capacity to fulfil orders for rainwater tan</w:t>
            </w:r>
            <w:r>
              <w:t>ks, or supply free TVs or DVDs.</w:t>
            </w:r>
          </w:p>
          <w:p w14:paraId="05ED276B" w14:textId="77777777" w:rsidR="008567B4" w:rsidRDefault="008567B4" w:rsidP="008567B4">
            <w:pPr>
              <w:pStyle w:val="BoxText"/>
            </w:pPr>
            <w:r w:rsidRPr="00B37370">
              <w:t>Following negotiations with the representatives of Columbus Sales Grout Pty Ltd</w:t>
            </w:r>
            <w:r>
              <w:t>,</w:t>
            </w:r>
            <w:r w:rsidRPr="00B37370">
              <w:t xml:space="preserve"> consent orders were agreed and on 12 October 2012 the Court made</w:t>
            </w:r>
            <w:r>
              <w:t xml:space="preserve"> its</w:t>
            </w:r>
            <w:r w:rsidRPr="00B37370">
              <w:t xml:space="preserve"> final orders</w:t>
            </w:r>
            <w:r>
              <w:t>,</w:t>
            </w:r>
            <w:r w:rsidRPr="00B37370">
              <w:t xml:space="preserve"> the effect of which was that the funds in the frozen bank account were to be used to compensate affected consumers</w:t>
            </w:r>
            <w:r>
              <w:t xml:space="preserve">. </w:t>
            </w:r>
          </w:p>
          <w:p w14:paraId="760DDDFA" w14:textId="77777777" w:rsidR="008567B4" w:rsidRPr="00302A2E" w:rsidRDefault="008567B4" w:rsidP="008567B4">
            <w:pPr>
              <w:pStyle w:val="BoxHeading"/>
              <w:rPr>
                <w:i/>
              </w:rPr>
            </w:pPr>
            <w:r w:rsidRPr="00302A2E">
              <w:rPr>
                <w:i/>
              </w:rPr>
              <w:t>Example 3</w:t>
            </w:r>
          </w:p>
          <w:p w14:paraId="0D09C32C" w14:textId="77777777" w:rsidR="008567B4" w:rsidRDefault="008567B4" w:rsidP="008567B4">
            <w:pPr>
              <w:pStyle w:val="BoxText"/>
            </w:pPr>
            <w:r w:rsidRPr="00E92463">
              <w:t>C</w:t>
            </w:r>
            <w:r>
              <w:t xml:space="preserve">onsumer </w:t>
            </w:r>
            <w:r w:rsidRPr="00E92463">
              <w:t>A</w:t>
            </w:r>
            <w:r>
              <w:t xml:space="preserve">ffairs </w:t>
            </w:r>
            <w:r w:rsidRPr="00E92463">
              <w:t>V</w:t>
            </w:r>
            <w:r>
              <w:t>ictoria (CAV)</w:t>
            </w:r>
            <w:r w:rsidRPr="00E92463">
              <w:t xml:space="preserve"> commenced action against J W Real Estate Pty Ltd, Sovereign Homes Australia Pty Ltd, Eric Liang </w:t>
            </w:r>
            <w:proofErr w:type="spellStart"/>
            <w:r w:rsidRPr="00E92463">
              <w:t>Apen</w:t>
            </w:r>
            <w:proofErr w:type="spellEnd"/>
            <w:r w:rsidRPr="00E92463">
              <w:t xml:space="preserve"> Group Pty Ltd and </w:t>
            </w:r>
            <w:proofErr w:type="spellStart"/>
            <w:r w:rsidRPr="00E92463">
              <w:t>Whe</w:t>
            </w:r>
            <w:r w:rsidRPr="000F294D">
              <w:t>alth</w:t>
            </w:r>
            <w:proofErr w:type="spellEnd"/>
            <w:r w:rsidRPr="000F294D">
              <w:t xml:space="preserve"> Holdings who operated as</w:t>
            </w:r>
            <w:r w:rsidRPr="00E92463">
              <w:t xml:space="preserve"> unlicensed estate agents targeting the Chinese </w:t>
            </w:r>
            <w:r>
              <w:t>c</w:t>
            </w:r>
            <w:r w:rsidRPr="00E92463">
              <w:t>ommunity</w:t>
            </w:r>
            <w:r>
              <w:t xml:space="preserve">. </w:t>
            </w:r>
          </w:p>
          <w:p w14:paraId="4A91327F" w14:textId="77777777" w:rsidR="008567B4" w:rsidRPr="00E92463" w:rsidRDefault="008567B4" w:rsidP="008567B4">
            <w:pPr>
              <w:pStyle w:val="BoxText"/>
            </w:pPr>
            <w:r w:rsidRPr="00E92463">
              <w:t>CAV obtained interim and final orders together with corrective advertising orders pursuant to section 246 of the ACL and an order requiring the defendants</w:t>
            </w:r>
            <w:r>
              <w:t xml:space="preserve"> to</w:t>
            </w:r>
            <w:r w:rsidRPr="00E92463">
              <w:t xml:space="preserve"> disclose the details of any consumer they</w:t>
            </w:r>
            <w:r w:rsidRPr="00133C71">
              <w:t xml:space="preserve"> had dealings with and any mon</w:t>
            </w:r>
            <w:r>
              <w:t>i</w:t>
            </w:r>
            <w:r w:rsidRPr="00133C71">
              <w:t>e</w:t>
            </w:r>
            <w:r w:rsidRPr="00E92463">
              <w:t xml:space="preserve">s held on behalf of consumers. </w:t>
            </w:r>
          </w:p>
          <w:p w14:paraId="3F4AFEDD" w14:textId="77777777" w:rsidR="008567B4" w:rsidRPr="00302A2E" w:rsidRDefault="008567B4" w:rsidP="008567B4">
            <w:pPr>
              <w:pStyle w:val="BoxHeading"/>
              <w:rPr>
                <w:i/>
              </w:rPr>
            </w:pPr>
            <w:r w:rsidRPr="00302A2E">
              <w:rPr>
                <w:i/>
              </w:rPr>
              <w:t>Example 4</w:t>
            </w:r>
          </w:p>
          <w:p w14:paraId="3B203E20" w14:textId="77777777" w:rsidR="008567B4" w:rsidRPr="00026ACF" w:rsidRDefault="008567B4" w:rsidP="008567B4">
            <w:pPr>
              <w:pStyle w:val="BoxText"/>
            </w:pPr>
            <w:r>
              <w:t xml:space="preserve">The </w:t>
            </w:r>
            <w:r w:rsidRPr="00E92463">
              <w:t>A</w:t>
            </w:r>
            <w:r>
              <w:t xml:space="preserve">ustralian </w:t>
            </w:r>
            <w:r w:rsidRPr="00E92463">
              <w:t>S</w:t>
            </w:r>
            <w:r>
              <w:t xml:space="preserve">ecurities and </w:t>
            </w:r>
            <w:r w:rsidRPr="00E92463">
              <w:t>I</w:t>
            </w:r>
            <w:r>
              <w:t xml:space="preserve">nvestments </w:t>
            </w:r>
            <w:r w:rsidRPr="00E92463">
              <w:t>C</w:t>
            </w:r>
            <w:r>
              <w:t>ommission (ASIC)</w:t>
            </w:r>
            <w:r w:rsidRPr="00E92463">
              <w:t xml:space="preserve"> raised concerns with a number of entities about contractual terms that may be potentially unfair and/or unconscionable under the ACL</w:t>
            </w:r>
            <w:r>
              <w:t xml:space="preserve">. </w:t>
            </w:r>
            <w:r w:rsidRPr="00E92463">
              <w:t xml:space="preserve">For example, in one of the first actions of this type under the ACL, ASIC raised concerns with </w:t>
            </w:r>
            <w:proofErr w:type="spellStart"/>
            <w:r w:rsidRPr="00E92463">
              <w:t>MyBudget</w:t>
            </w:r>
            <w:proofErr w:type="spellEnd"/>
            <w:r w:rsidRPr="00E92463">
              <w:t xml:space="preserve"> Pty Ltd (</w:t>
            </w:r>
            <w:proofErr w:type="spellStart"/>
            <w:r w:rsidRPr="00E92463">
              <w:t>MyBudget</w:t>
            </w:r>
            <w:proofErr w:type="spellEnd"/>
            <w:r w:rsidRPr="00E92463">
              <w:t>), an entity that provides budgeting and debt management services to people experiencing financial difficulty</w:t>
            </w:r>
            <w:r>
              <w:t xml:space="preserve">. </w:t>
            </w:r>
            <w:r w:rsidRPr="00E92463">
              <w:t xml:space="preserve">The issues raised with </w:t>
            </w:r>
            <w:proofErr w:type="spellStart"/>
            <w:r w:rsidRPr="00E92463">
              <w:t>MyBudget</w:t>
            </w:r>
            <w:proofErr w:type="spellEnd"/>
            <w:r>
              <w:t xml:space="preserve"> </w:t>
            </w:r>
            <w:r w:rsidRPr="00E92463">
              <w:t>included concerns about a number of potentially unfair and/or unconscionable terms</w:t>
            </w:r>
            <w:r>
              <w:t>. These issues,</w:t>
            </w:r>
            <w:r w:rsidRPr="00E92463">
              <w:t xml:space="preserve"> addressed in a revised agreement, included:</w:t>
            </w:r>
            <w:r w:rsidRPr="00026ACF">
              <w:t xml:space="preserve"> </w:t>
            </w:r>
          </w:p>
          <w:p w14:paraId="5EFC234C" w14:textId="77777777" w:rsidR="008567B4" w:rsidRPr="00306CD1" w:rsidRDefault="008567B4" w:rsidP="008567B4">
            <w:pPr>
              <w:pStyle w:val="Bullet"/>
              <w:numPr>
                <w:ilvl w:val="0"/>
                <w:numId w:val="61"/>
              </w:numPr>
              <w:spacing w:after="200" w:line="276" w:lineRule="auto"/>
            </w:pPr>
            <w:r w:rsidRPr="00B86367">
              <w:t>administration</w:t>
            </w:r>
            <w:r w:rsidRPr="00E92463">
              <w:t xml:space="preserve"> fees payable after termination until full discharge of client's liability, even when </w:t>
            </w:r>
            <w:proofErr w:type="spellStart"/>
            <w:r w:rsidRPr="00E92463">
              <w:t>MyBudget</w:t>
            </w:r>
            <w:proofErr w:type="spellEnd"/>
            <w:r w:rsidRPr="00E92463">
              <w:t xml:space="preserve"> terminated the agreement on notice;</w:t>
            </w:r>
            <w:r w:rsidRPr="00026ACF">
              <w:t xml:space="preserve"> </w:t>
            </w:r>
          </w:p>
          <w:p w14:paraId="09E2F401" w14:textId="77777777" w:rsidR="008567B4" w:rsidRPr="00306CD1" w:rsidRDefault="008567B4" w:rsidP="008567B4">
            <w:pPr>
              <w:pStyle w:val="Bullet"/>
              <w:numPr>
                <w:ilvl w:val="0"/>
                <w:numId w:val="61"/>
              </w:numPr>
              <w:spacing w:after="200" w:line="276" w:lineRule="auto"/>
            </w:pPr>
            <w:r w:rsidRPr="00E92463">
              <w:t>fa</w:t>
            </w:r>
            <w:r>
              <w:t xml:space="preserve">ilure to inform clients that </w:t>
            </w:r>
            <w:proofErr w:type="spellStart"/>
            <w:r>
              <w:t>My</w:t>
            </w:r>
            <w:r w:rsidRPr="00E92463">
              <w:t>Budget's</w:t>
            </w:r>
            <w:proofErr w:type="spellEnd"/>
            <w:r w:rsidRPr="00E92463">
              <w:t xml:space="preserve"> weekly administration fee had the same priority as weekly living expenses;</w:t>
            </w:r>
            <w:r w:rsidRPr="00026ACF">
              <w:t xml:space="preserve"> </w:t>
            </w:r>
          </w:p>
          <w:p w14:paraId="62B77239" w14:textId="77777777" w:rsidR="008567B4" w:rsidRPr="00306CD1" w:rsidRDefault="008567B4" w:rsidP="008567B4">
            <w:pPr>
              <w:pStyle w:val="Bullet"/>
              <w:numPr>
                <w:ilvl w:val="0"/>
                <w:numId w:val="61"/>
              </w:numPr>
              <w:spacing w:after="200" w:line="276" w:lineRule="auto"/>
            </w:pPr>
            <w:r w:rsidRPr="00E92463">
              <w:t xml:space="preserve">charging a direct penalty fee if the client authorised a creditor to debit its </w:t>
            </w:r>
            <w:proofErr w:type="spellStart"/>
            <w:r w:rsidRPr="00E92463">
              <w:t>MyBudget</w:t>
            </w:r>
            <w:proofErr w:type="spellEnd"/>
            <w:r w:rsidRPr="00E92463">
              <w:t xml:space="preserve"> account;</w:t>
            </w:r>
            <w:r w:rsidRPr="00026ACF">
              <w:t xml:space="preserve"> </w:t>
            </w:r>
          </w:p>
          <w:p w14:paraId="32A5E6D3" w14:textId="77777777" w:rsidR="008567B4" w:rsidRPr="00026ACF" w:rsidRDefault="008567B4" w:rsidP="008567B4">
            <w:pPr>
              <w:pStyle w:val="Bullet"/>
              <w:numPr>
                <w:ilvl w:val="0"/>
                <w:numId w:val="61"/>
              </w:numPr>
              <w:spacing w:after="200" w:line="276" w:lineRule="auto"/>
            </w:pPr>
            <w:r w:rsidRPr="00026ACF">
              <w:t>retention</w:t>
            </w:r>
            <w:r w:rsidRPr="00E92463">
              <w:t xml:space="preserve"> of interest on </w:t>
            </w:r>
            <w:proofErr w:type="spellStart"/>
            <w:r w:rsidRPr="00E92463">
              <w:t>MyBudget</w:t>
            </w:r>
            <w:proofErr w:type="spellEnd"/>
            <w:r w:rsidRPr="00E92463">
              <w:t xml:space="preserve"> accounts without clear disclosure to the client.</w:t>
            </w:r>
          </w:p>
          <w:p w14:paraId="36EB0D8E" w14:textId="2194F8A2" w:rsidR="008567B4" w:rsidRPr="008950C5" w:rsidRDefault="008567B4" w:rsidP="008567B4">
            <w:pPr>
              <w:pStyle w:val="BoxText"/>
            </w:pPr>
            <w:r w:rsidRPr="00E92463">
              <w:rPr>
                <w:rFonts w:cs="Arial"/>
                <w:szCs w:val="22"/>
              </w:rPr>
              <w:t>In the revised agreement, post</w:t>
            </w:r>
            <w:r>
              <w:rPr>
                <w:rFonts w:cs="Arial"/>
                <w:szCs w:val="22"/>
              </w:rPr>
              <w:noBreakHyphen/>
            </w:r>
            <w:r w:rsidRPr="00E92463">
              <w:rPr>
                <w:rFonts w:cs="Arial"/>
                <w:szCs w:val="22"/>
              </w:rPr>
              <w:t>termination administration fees were amended in line with the princi</w:t>
            </w:r>
            <w:r w:rsidRPr="00306CD1">
              <w:rPr>
                <w:rFonts w:cs="Arial"/>
                <w:szCs w:val="22"/>
              </w:rPr>
              <w:t>ples of fairness</w:t>
            </w:r>
            <w:r>
              <w:rPr>
                <w:rFonts w:cs="Arial"/>
                <w:szCs w:val="22"/>
              </w:rPr>
              <w:t xml:space="preserve"> and </w:t>
            </w:r>
            <w:r w:rsidRPr="0001267D">
              <w:rPr>
                <w:rFonts w:cs="Arial"/>
                <w:szCs w:val="22"/>
              </w:rPr>
              <w:t xml:space="preserve">direct penalty fees </w:t>
            </w:r>
            <w:r>
              <w:rPr>
                <w:rFonts w:cs="Arial"/>
                <w:szCs w:val="22"/>
              </w:rPr>
              <w:t>were</w:t>
            </w:r>
            <w:r w:rsidRPr="0001267D">
              <w:rPr>
                <w:rFonts w:cs="Arial"/>
                <w:szCs w:val="22"/>
              </w:rPr>
              <w:t xml:space="preserve"> removed</w:t>
            </w:r>
            <w:r>
              <w:rPr>
                <w:rFonts w:cs="Arial"/>
                <w:szCs w:val="22"/>
              </w:rPr>
              <w:t>. Disclosure of key terms and conditions was also improved.</w:t>
            </w:r>
          </w:p>
        </w:tc>
      </w:tr>
    </w:tbl>
    <w:p w14:paraId="040BE58D" w14:textId="77777777" w:rsidR="008567B4" w:rsidRDefault="008567B4"/>
    <w:tbl>
      <w:tblPr>
        <w:tblW w:w="9295" w:type="dxa"/>
        <w:tblInd w:w="-4" w:type="dxa"/>
        <w:shd w:val="clear" w:color="auto" w:fill="E6E6E6"/>
        <w:tblLook w:val="01E0" w:firstRow="1" w:lastRow="1" w:firstColumn="1" w:lastColumn="1" w:noHBand="0" w:noVBand="0"/>
      </w:tblPr>
      <w:tblGrid>
        <w:gridCol w:w="9295"/>
      </w:tblGrid>
      <w:tr w:rsidR="007A7C16" w14:paraId="430FD9E2" w14:textId="77777777" w:rsidTr="008567B4">
        <w:tc>
          <w:tcPr>
            <w:tcW w:w="5000" w:type="pct"/>
            <w:shd w:val="clear" w:color="auto" w:fill="E6E6E6"/>
          </w:tcPr>
          <w:p w14:paraId="12491906" w14:textId="77777777" w:rsidR="008567B4" w:rsidRPr="00AA783F" w:rsidRDefault="008567B4" w:rsidP="008567B4">
            <w:pPr>
              <w:pStyle w:val="BoxHeading"/>
            </w:pPr>
            <w:bookmarkStart w:id="89" w:name="_Toc342299532"/>
            <w:r>
              <w:lastRenderedPageBreak/>
              <w:t xml:space="preserve">Case study 7 — </w:t>
            </w:r>
            <w:r w:rsidRPr="00AA783F">
              <w:t>ACL Enforcement Outcomes</w:t>
            </w:r>
            <w:r>
              <w:t xml:space="preserve"> (continued)</w:t>
            </w:r>
          </w:p>
          <w:p w14:paraId="5E26F040" w14:textId="77777777" w:rsidR="007A7C16" w:rsidRPr="00302A2E" w:rsidRDefault="007A7C16" w:rsidP="007A7C16">
            <w:pPr>
              <w:pStyle w:val="BoxHeading"/>
              <w:rPr>
                <w:i/>
              </w:rPr>
            </w:pPr>
            <w:r w:rsidRPr="00302A2E">
              <w:rPr>
                <w:i/>
              </w:rPr>
              <w:t>Example 5</w:t>
            </w:r>
          </w:p>
          <w:p w14:paraId="16DBB386" w14:textId="674E4AC5" w:rsidR="007A7C16" w:rsidRPr="00E92463" w:rsidRDefault="007A7C16" w:rsidP="007A7C16">
            <w:pPr>
              <w:pStyle w:val="BoxText"/>
            </w:pPr>
            <w:r>
              <w:t>The breadth of enforcement outcomes achieved by Commonwealth, state and territory consumer agencies are enhanced by the range of enforcement and compliance tools available under the ACL</w:t>
            </w:r>
            <w:r w:rsidR="00433B24">
              <w:t xml:space="preserve">. </w:t>
            </w:r>
            <w:r>
              <w:t>For example, highlights from the ACCC’s enforcement activities in the</w:t>
            </w:r>
            <w:r w:rsidRPr="00E92463">
              <w:t xml:space="preserve"> financial year 2011</w:t>
            </w:r>
            <w:r w:rsidR="00433B24">
              <w:noBreakHyphen/>
            </w:r>
            <w:r w:rsidRPr="00E92463">
              <w:t>2012 include:</w:t>
            </w:r>
          </w:p>
          <w:p w14:paraId="7E9B4D7D" w14:textId="77777777" w:rsidR="007A7C16" w:rsidRDefault="007A7C16" w:rsidP="007A7C16">
            <w:pPr>
              <w:pStyle w:val="Bullet"/>
              <w:numPr>
                <w:ilvl w:val="0"/>
                <w:numId w:val="61"/>
              </w:numPr>
              <w:spacing w:after="200" w:line="276" w:lineRule="auto"/>
            </w:pPr>
            <w:r w:rsidRPr="00E92463">
              <w:t>Civil pecuniary penalties totalling $10.67 million in penalties were obtained through the courts in eleven consumer protection and fair trade proceedings.</w:t>
            </w:r>
          </w:p>
          <w:p w14:paraId="2C09FBC9" w14:textId="77777777" w:rsidR="008567B4" w:rsidRDefault="008567B4" w:rsidP="008567B4">
            <w:r w:rsidRPr="00E92463">
              <w:t>A total of 34 infringement notices were issued and paid, totalling over $220,000 in penalties.</w:t>
            </w:r>
          </w:p>
          <w:p w14:paraId="160D2564" w14:textId="77777777" w:rsidR="008567B4" w:rsidRPr="00E92463" w:rsidRDefault="008567B4" w:rsidP="008567B4">
            <w:pPr>
              <w:pStyle w:val="Bullet"/>
            </w:pPr>
            <w:r w:rsidRPr="00E92463">
              <w:t>One public warning notice was issued against Safety Compliance</w:t>
            </w:r>
            <w:r>
              <w:t xml:space="preserve">. </w:t>
            </w:r>
            <w:r w:rsidRPr="00E92463">
              <w:t>Proceedings have now be</w:t>
            </w:r>
            <w:r>
              <w:t>en instituted in this matter.</w:t>
            </w:r>
          </w:p>
          <w:p w14:paraId="116018DD" w14:textId="77777777" w:rsidR="008567B4" w:rsidRDefault="008567B4" w:rsidP="008567B4">
            <w:pPr>
              <w:pStyle w:val="Bullet"/>
            </w:pPr>
            <w:r w:rsidRPr="00E92463">
              <w:t>A company director was banned by the Federal Court from managing a corporation for 15 years, after it was found that he and the firms he established engaged in false, misleading or deceptive conduct in selling business directorships</w:t>
            </w:r>
            <w:r>
              <w:t xml:space="preserve">. </w:t>
            </w:r>
          </w:p>
          <w:p w14:paraId="2EA69E38" w14:textId="77777777" w:rsidR="008567B4" w:rsidRPr="00E92463" w:rsidRDefault="008567B4" w:rsidP="008567B4">
            <w:pPr>
              <w:pStyle w:val="Bullet"/>
            </w:pPr>
            <w:r w:rsidRPr="00E92463">
              <w:t>Non</w:t>
            </w:r>
            <w:r>
              <w:noBreakHyphen/>
            </w:r>
            <w:r w:rsidRPr="00E92463">
              <w:t xml:space="preserve">party redress has been sought in the matter of </w:t>
            </w:r>
            <w:proofErr w:type="spellStart"/>
            <w:r w:rsidRPr="00E92463">
              <w:t>Sensaslim</w:t>
            </w:r>
            <w:proofErr w:type="spellEnd"/>
            <w:r w:rsidRPr="00E92463">
              <w:t>, for which the ACCC is currently awaiting judgement</w:t>
            </w:r>
            <w:r>
              <w:t xml:space="preserve">. </w:t>
            </w:r>
          </w:p>
          <w:p w14:paraId="49108C35" w14:textId="77777777" w:rsidR="008567B4" w:rsidRPr="00E92463" w:rsidRDefault="008567B4" w:rsidP="008567B4">
            <w:pPr>
              <w:pStyle w:val="Bullet"/>
            </w:pPr>
            <w:r w:rsidRPr="00E92463">
              <w:t>Eight substantiation notices were issued in ACCC initiated matters.</w:t>
            </w:r>
          </w:p>
          <w:p w14:paraId="063F3CE5" w14:textId="1ADF9A22" w:rsidR="008567B4" w:rsidRPr="008950C5" w:rsidRDefault="008567B4" w:rsidP="008567B4">
            <w:r w:rsidRPr="00E92463">
              <w:t>The ACCC commenced its first action under the unfair contract</w:t>
            </w:r>
            <w:r>
              <w:t xml:space="preserve"> terms</w:t>
            </w:r>
            <w:r w:rsidRPr="00E92463">
              <w:t xml:space="preserve"> provisions of the ACL, in the matter of NRM Corporation Pty Ltd and </w:t>
            </w:r>
            <w:r>
              <w:t>the Advanced Medical Institute.</w:t>
            </w:r>
          </w:p>
        </w:tc>
      </w:tr>
    </w:tbl>
    <w:p w14:paraId="67760749" w14:textId="77777777" w:rsidR="007A7C16" w:rsidRDefault="007A7C16" w:rsidP="007A7C16">
      <w:pPr>
        <w:pStyle w:val="SingleParagraph"/>
      </w:pPr>
    </w:p>
    <w:p w14:paraId="43DB9706" w14:textId="77777777" w:rsidR="0062161A" w:rsidRPr="00B7618F" w:rsidRDefault="00823DDB">
      <w:pPr>
        <w:pStyle w:val="Heading3"/>
      </w:pPr>
      <w:bookmarkStart w:id="90" w:name="_Toc342381495"/>
      <w:r>
        <w:t>Combatting unlawful selling practices</w:t>
      </w:r>
      <w:bookmarkEnd w:id="89"/>
      <w:bookmarkEnd w:id="90"/>
    </w:p>
    <w:p w14:paraId="43DB9707" w14:textId="07554B7B" w:rsidR="00B56108" w:rsidRDefault="000D7BE1" w:rsidP="00302A2E">
      <w:r>
        <w:t>Consumer</w:t>
      </w:r>
      <w:r w:rsidR="0062161A" w:rsidRPr="00B7618F">
        <w:t xml:space="preserve"> </w:t>
      </w:r>
      <w:r w:rsidR="007F41D0">
        <w:t>agencies</w:t>
      </w:r>
      <w:r w:rsidR="0062161A" w:rsidRPr="00B7618F">
        <w:t xml:space="preserve"> </w:t>
      </w:r>
      <w:r w:rsidR="00823DDB">
        <w:t xml:space="preserve">have worked to </w:t>
      </w:r>
      <w:r w:rsidR="002503B3">
        <w:t>restrict</w:t>
      </w:r>
      <w:r w:rsidR="0062161A" w:rsidRPr="00B7618F">
        <w:t xml:space="preserve"> unlawful selling of goods and services by travelling conmen</w:t>
      </w:r>
      <w:r w:rsidR="002503B3">
        <w:t xml:space="preserve"> (see Case stud</w:t>
      </w:r>
      <w:r w:rsidR="00713F3D">
        <w:t>ies</w:t>
      </w:r>
      <w:r w:rsidR="002503B3">
        <w:t xml:space="preserve"> 4</w:t>
      </w:r>
      <w:r w:rsidR="00D843F9">
        <w:t xml:space="preserve"> and 8</w:t>
      </w:r>
      <w:r w:rsidR="002503B3">
        <w:t>)</w:t>
      </w:r>
      <w:r w:rsidR="00433B24">
        <w:t xml:space="preserve">. </w:t>
      </w:r>
      <w:r w:rsidR="00A46393" w:rsidRPr="0006364B">
        <w:t xml:space="preserve">The conmen </w:t>
      </w:r>
      <w:r w:rsidR="00A46393">
        <w:t>failed to comply with key requirements under the</w:t>
      </w:r>
      <w:r w:rsidR="00A46393" w:rsidRPr="0006364B">
        <w:t xml:space="preserve"> </w:t>
      </w:r>
      <w:r w:rsidR="00A46393">
        <w:t>ACL</w:t>
      </w:r>
      <w:r w:rsidR="00A46393" w:rsidRPr="0006364B">
        <w:t xml:space="preserve"> </w:t>
      </w:r>
      <w:r w:rsidR="00A46393">
        <w:t>including those relating to</w:t>
      </w:r>
      <w:r w:rsidR="00A46393" w:rsidRPr="0006364B">
        <w:t xml:space="preserve"> u</w:t>
      </w:r>
      <w:r w:rsidR="00A46393" w:rsidRPr="001E1D60">
        <w:t>nsolicited door</w:t>
      </w:r>
      <w:r w:rsidR="00433B24">
        <w:noBreakHyphen/>
      </w:r>
      <w:r w:rsidR="00A46393" w:rsidRPr="001E1D60">
        <w:t>to</w:t>
      </w:r>
      <w:r w:rsidR="00433B24">
        <w:noBreakHyphen/>
      </w:r>
      <w:r w:rsidR="00A46393" w:rsidRPr="001E1D60">
        <w:t>door selling</w:t>
      </w:r>
      <w:r w:rsidR="00A46393" w:rsidRPr="0006364B">
        <w:t xml:space="preserve"> and </w:t>
      </w:r>
      <w:r w:rsidR="00A46393">
        <w:t>consumer guarantees</w:t>
      </w:r>
      <w:r w:rsidR="00433B24">
        <w:t xml:space="preserve">. </w:t>
      </w:r>
      <w:r w:rsidR="00A46393" w:rsidRPr="0006364B">
        <w:t xml:space="preserve">Work, when carried out, </w:t>
      </w:r>
      <w:r w:rsidR="00A46393">
        <w:t>was</w:t>
      </w:r>
      <w:r w:rsidR="00A46393" w:rsidRPr="0006364B">
        <w:t xml:space="preserve"> usually poor, overpriced and often left incomplete</w:t>
      </w:r>
      <w:r w:rsidR="00433B24">
        <w:t xml:space="preserve">. </w:t>
      </w:r>
      <w:r w:rsidR="00A46393" w:rsidRPr="0006364B">
        <w:t>They verbally intimidate</w:t>
      </w:r>
      <w:r w:rsidR="00A46393">
        <w:t>d</w:t>
      </w:r>
      <w:r w:rsidR="00A46393" w:rsidRPr="0006364B">
        <w:t xml:space="preserve"> consumers into payment and quoted prices often bec</w:t>
      </w:r>
      <w:r w:rsidR="00A46393">
        <w:t>a</w:t>
      </w:r>
      <w:r w:rsidR="00A46393" w:rsidRPr="0006364B">
        <w:t xml:space="preserve">me inflated once payment </w:t>
      </w:r>
      <w:r w:rsidR="00A46393">
        <w:t>was</w:t>
      </w:r>
      <w:r w:rsidR="00A46393" w:rsidRPr="0006364B">
        <w:t xml:space="preserve"> requested</w:t>
      </w:r>
      <w:r w:rsidR="00A46393">
        <w:t>.</w:t>
      </w:r>
    </w:p>
    <w:p w14:paraId="43DB9708" w14:textId="77777777" w:rsidR="00B56108" w:rsidRDefault="00B56108">
      <w:pPr>
        <w:spacing w:after="0" w:line="240" w:lineRule="auto"/>
      </w:pPr>
      <w:r>
        <w:br w:type="page"/>
      </w:r>
    </w:p>
    <w:tbl>
      <w:tblPr>
        <w:tblStyle w:val="TableGrid"/>
        <w:tblW w:w="0" w:type="auto"/>
        <w:tblLook w:val="04A0" w:firstRow="1" w:lastRow="0" w:firstColumn="1" w:lastColumn="0" w:noHBand="0" w:noVBand="1"/>
      </w:tblPr>
      <w:tblGrid>
        <w:gridCol w:w="9286"/>
      </w:tblGrid>
      <w:tr w:rsidR="00CA4F1A" w14:paraId="43DB970E" w14:textId="77777777" w:rsidTr="00CA4F1A">
        <w:tc>
          <w:tcPr>
            <w:tcW w:w="9286" w:type="dxa"/>
          </w:tcPr>
          <w:p w14:paraId="43DB9709" w14:textId="77777777" w:rsidR="00CA4F1A" w:rsidRPr="0006364B" w:rsidRDefault="00CA4F1A" w:rsidP="00302A2E">
            <w:pPr>
              <w:pStyle w:val="BoxHeading"/>
            </w:pPr>
            <w:r>
              <w:lastRenderedPageBreak/>
              <w:t xml:space="preserve">Case study 8 — </w:t>
            </w:r>
            <w:r w:rsidRPr="0006364B">
              <w:t>Travelling conmen</w:t>
            </w:r>
          </w:p>
          <w:p w14:paraId="43DB970A" w14:textId="3BDCD283" w:rsidR="00CA4F1A" w:rsidRPr="0006364B" w:rsidRDefault="00CA4F1A" w:rsidP="00FB12B9">
            <w:pPr>
              <w:pStyle w:val="BoxText"/>
              <w:jc w:val="left"/>
            </w:pPr>
            <w:r w:rsidRPr="0006364B">
              <w:t xml:space="preserve">In June 2011, all Australian </w:t>
            </w:r>
            <w:r w:rsidR="0053798B">
              <w:t>C</w:t>
            </w:r>
            <w:r w:rsidRPr="0006364B">
              <w:t xml:space="preserve">onsumer </w:t>
            </w:r>
            <w:r w:rsidR="0053798B">
              <w:t>A</w:t>
            </w:r>
            <w:r w:rsidRPr="0006364B">
              <w:t xml:space="preserve">ffairs </w:t>
            </w:r>
            <w:r w:rsidR="0053798B">
              <w:t>M</w:t>
            </w:r>
            <w:r w:rsidRPr="0006364B">
              <w:t xml:space="preserve">inisters agreed to establish a national project to adopt </w:t>
            </w:r>
            <w:r>
              <w:t>a consistent and coordinated</w:t>
            </w:r>
            <w:r w:rsidRPr="0006364B">
              <w:t xml:space="preserve"> enforcement approach to </w:t>
            </w:r>
            <w:r>
              <w:t>eradicate</w:t>
            </w:r>
            <w:r w:rsidRPr="0006364B">
              <w:t xml:space="preserve"> unlawful selling of goods and services by travelling conmen.</w:t>
            </w:r>
          </w:p>
          <w:p w14:paraId="43DB970B" w14:textId="3D750FED" w:rsidR="00CA4F1A" w:rsidRPr="0006364B" w:rsidRDefault="00CA4F1A" w:rsidP="00FB12B9">
            <w:pPr>
              <w:pStyle w:val="BoxText"/>
              <w:jc w:val="left"/>
            </w:pPr>
            <w:r w:rsidRPr="0006364B">
              <w:t>A national taskforce was established in September 2011</w:t>
            </w:r>
            <w:r w:rsidR="00433B24">
              <w:t xml:space="preserve">. </w:t>
            </w:r>
            <w:r w:rsidRPr="0006364B">
              <w:t xml:space="preserve">This taskforce </w:t>
            </w:r>
            <w:r>
              <w:t>liaised closely</w:t>
            </w:r>
            <w:r w:rsidRPr="0006364B">
              <w:t xml:space="preserve"> with customs officers, immigration and law enforcement agencies</w:t>
            </w:r>
            <w:r w:rsidR="00433B24">
              <w:t xml:space="preserve">. </w:t>
            </w:r>
            <w:r>
              <w:t>Key outcomes resulting from the taskforce</w:t>
            </w:r>
            <w:r w:rsidRPr="0006364B">
              <w:t xml:space="preserve"> by 30 June 2012, includ</w:t>
            </w:r>
            <w:r>
              <w:t>e</w:t>
            </w:r>
            <w:r w:rsidRPr="0006364B">
              <w:t>:</w:t>
            </w:r>
          </w:p>
          <w:p w14:paraId="43DB970C" w14:textId="77777777" w:rsidR="00CA4F1A" w:rsidRPr="0006364B" w:rsidRDefault="00CA4F1A" w:rsidP="00CA4F1A">
            <w:pPr>
              <w:pStyle w:val="Bullet"/>
              <w:jc w:val="left"/>
            </w:pPr>
            <w:r w:rsidRPr="0006364B">
              <w:t xml:space="preserve">undertaking 30 successful prosecutions against 28 individuals for 105 breaches of the </w:t>
            </w:r>
            <w:r>
              <w:t>ACL</w:t>
            </w:r>
            <w:r w:rsidRPr="0006364B">
              <w:t xml:space="preserve"> and state laws, resulting in fines and related court costs of $296,235; and</w:t>
            </w:r>
          </w:p>
          <w:p w14:paraId="43DB970D" w14:textId="0688A3A4" w:rsidR="00CA4F1A" w:rsidRDefault="00CA4F1A" w:rsidP="00FB12B9">
            <w:pPr>
              <w:pStyle w:val="Bullet"/>
              <w:jc w:val="left"/>
            </w:pPr>
            <w:r w:rsidRPr="0006364B">
              <w:t>assisting Commonwealth authorities to arrange for the</w:t>
            </w:r>
            <w:r w:rsidR="00F8272F">
              <w:t xml:space="preserve"> departure from Australia of 39 </w:t>
            </w:r>
            <w:r w:rsidRPr="0006364B">
              <w:t>individuals for breaching various visa conditions.</w:t>
            </w:r>
          </w:p>
        </w:tc>
      </w:tr>
    </w:tbl>
    <w:p w14:paraId="43DB970F" w14:textId="77777777" w:rsidR="0062161A" w:rsidRPr="00B7618F" w:rsidRDefault="0093584A">
      <w:pPr>
        <w:pStyle w:val="Heading3"/>
        <w:rPr>
          <w:rStyle w:val="HTMLTypewriter"/>
          <w:b w:val="0"/>
          <w:bCs w:val="0"/>
          <w:color w:val="000000"/>
          <w:szCs w:val="22"/>
          <w:u w:val="single"/>
        </w:rPr>
      </w:pPr>
      <w:bookmarkStart w:id="91" w:name="_Toc342299533"/>
      <w:bookmarkStart w:id="92" w:name="_Toc342381496"/>
      <w:r>
        <w:t>Identifying and responding to emerging consumer issues</w:t>
      </w:r>
      <w:bookmarkEnd w:id="91"/>
      <w:bookmarkEnd w:id="92"/>
    </w:p>
    <w:p w14:paraId="43DB9710" w14:textId="7FBA001E" w:rsidR="0062161A" w:rsidRPr="0062161A" w:rsidRDefault="0062161A" w:rsidP="0062161A">
      <w:r w:rsidRPr="0062161A">
        <w:t xml:space="preserve">CDRAC has responded to </w:t>
      </w:r>
      <w:r w:rsidR="008B1A6E">
        <w:t>growth in the</w:t>
      </w:r>
      <w:r w:rsidRPr="0062161A">
        <w:t xml:space="preserve"> online group buying market and an identified increase in enquiries and complaints</w:t>
      </w:r>
      <w:r w:rsidR="00433B24">
        <w:t xml:space="preserve">. </w:t>
      </w:r>
      <w:r w:rsidR="008B1A6E">
        <w:t>A national group buying</w:t>
      </w:r>
      <w:r w:rsidRPr="0062161A">
        <w:t xml:space="preserve"> project </w:t>
      </w:r>
      <w:r w:rsidR="008B1A6E">
        <w:t>w</w:t>
      </w:r>
      <w:r w:rsidRPr="0062161A">
        <w:t>as</w:t>
      </w:r>
      <w:r w:rsidR="008B1A6E">
        <w:t xml:space="preserve"> established as part of</w:t>
      </w:r>
      <w:r w:rsidRPr="0062161A">
        <w:t xml:space="preserve"> an integrated approach to encourag</w:t>
      </w:r>
      <w:r w:rsidR="008B1A6E">
        <w:t>ing</w:t>
      </w:r>
      <w:r w:rsidRPr="0062161A">
        <w:t xml:space="preserve"> compliance with the ACL</w:t>
      </w:r>
      <w:r w:rsidR="00821EDE">
        <w:t xml:space="preserve"> (see Case study 9)</w:t>
      </w:r>
      <w:r w:rsidR="00433B24">
        <w:t xml:space="preserve">. </w:t>
      </w:r>
      <w:r w:rsidR="008B1A6E">
        <w:t>The project used</w:t>
      </w:r>
      <w:r w:rsidR="008B1A6E" w:rsidRPr="0062161A">
        <w:t xml:space="preserve"> a range of compliance and enforcement tools</w:t>
      </w:r>
      <w:r w:rsidR="008B1A6E">
        <w:t>.</w:t>
      </w:r>
    </w:p>
    <w:p w14:paraId="43DB9711" w14:textId="2FF7C7AC" w:rsidR="0062161A" w:rsidRPr="0062161A" w:rsidRDefault="0062161A" w:rsidP="0062161A">
      <w:r w:rsidRPr="0062161A">
        <w:t>The working party has also implemented a coordinated approach to dispute resolution of group buying complaints</w:t>
      </w:r>
      <w:r w:rsidR="00433B24">
        <w:t xml:space="preserve">. </w:t>
      </w:r>
      <w:r w:rsidRPr="0062161A">
        <w:t>There have also been activities to raise awareness of the benefits as well as the risks for consumers and small businesses when it comes to group buying and</w:t>
      </w:r>
      <w:r w:rsidR="0053798B">
        <w:t xml:space="preserve"> the working party</w:t>
      </w:r>
      <w:r w:rsidRPr="0062161A">
        <w:t xml:space="preserve"> </w:t>
      </w:r>
      <w:r w:rsidR="00BD4D4E">
        <w:t xml:space="preserve">has </w:t>
      </w:r>
      <w:r w:rsidR="0053798B">
        <w:t>engaged</w:t>
      </w:r>
      <w:r w:rsidRPr="0062161A">
        <w:t xml:space="preserve"> with industry to promote best practice principles.</w:t>
      </w:r>
    </w:p>
    <w:p w14:paraId="43DB9712" w14:textId="77777777" w:rsidR="0062161A" w:rsidRPr="0062161A" w:rsidRDefault="0062161A" w:rsidP="0062161A">
      <w:r w:rsidRPr="0062161A">
        <w:t xml:space="preserve">The working party has engaged with the Australian Direct Marketing Association </w:t>
      </w:r>
      <w:r w:rsidR="00DE2942">
        <w:t xml:space="preserve">to </w:t>
      </w:r>
      <w:r w:rsidRPr="0062161A">
        <w:t>review</w:t>
      </w:r>
      <w:r w:rsidR="00DE2942">
        <w:t xml:space="preserve"> and provide</w:t>
      </w:r>
      <w:r w:rsidRPr="0062161A">
        <w:t xml:space="preserve"> feedback on the</w:t>
      </w:r>
      <w:r w:rsidR="00DE2942">
        <w:t xml:space="preserve"> </w:t>
      </w:r>
      <w:r w:rsidR="00DE2942" w:rsidRPr="0062161A">
        <w:t>Australian Group Buying Code of Conduct</w:t>
      </w:r>
      <w:r w:rsidR="00DE2942">
        <w:t xml:space="preserve"> and</w:t>
      </w:r>
      <w:r w:rsidRPr="0062161A">
        <w:t xml:space="preserve"> the industry’s Group Buying Merchant Guide.</w:t>
      </w:r>
    </w:p>
    <w:p w14:paraId="43DB9713" w14:textId="14C86E06" w:rsidR="003152E7" w:rsidRDefault="0062161A" w:rsidP="0062161A">
      <w:r w:rsidRPr="0062161A">
        <w:t xml:space="preserve">There has been </w:t>
      </w:r>
      <w:r w:rsidR="00BD28C3">
        <w:t>ongoing</w:t>
      </w:r>
      <w:r w:rsidRPr="0062161A">
        <w:t xml:space="preserve"> analysis and sharing of national data highlighting complaint trends</w:t>
      </w:r>
      <w:r w:rsidR="00BD28C3">
        <w:t>,</w:t>
      </w:r>
      <w:r w:rsidRPr="0062161A">
        <w:t xml:space="preserve"> problem traders</w:t>
      </w:r>
      <w:r w:rsidR="00BD28C3">
        <w:t xml:space="preserve"> and common </w:t>
      </w:r>
      <w:r w:rsidRPr="0062161A">
        <w:t>issues</w:t>
      </w:r>
      <w:r w:rsidR="00433B24">
        <w:t xml:space="preserve">. </w:t>
      </w:r>
      <w:r w:rsidRPr="0062161A">
        <w:t xml:space="preserve">There has also been coordinated direct engagement with a number of group buying providers and where appropriate, </w:t>
      </w:r>
      <w:r w:rsidR="00BD28C3">
        <w:t>consumer agencies</w:t>
      </w:r>
      <w:r w:rsidR="007F41D0">
        <w:t xml:space="preserve"> </w:t>
      </w:r>
      <w:r w:rsidR="009B7A72">
        <w:t xml:space="preserve">have </w:t>
      </w:r>
      <w:r w:rsidRPr="0062161A">
        <w:t>investigate</w:t>
      </w:r>
      <w:r w:rsidR="009B7A72">
        <w:t>d</w:t>
      </w:r>
      <w:r w:rsidRPr="0062161A">
        <w:t xml:space="preserve"> and take</w:t>
      </w:r>
      <w:r w:rsidR="009B7A72">
        <w:t>n</w:t>
      </w:r>
      <w:r w:rsidRPr="0062161A">
        <w:t xml:space="preserve"> enforcement action.</w:t>
      </w:r>
    </w:p>
    <w:p w14:paraId="43DB9714" w14:textId="77777777" w:rsidR="003152E7" w:rsidRDefault="003152E7">
      <w:pPr>
        <w:spacing w:after="0" w:line="240" w:lineRule="auto"/>
      </w:pPr>
      <w:r>
        <w:br w:type="page"/>
      </w:r>
    </w:p>
    <w:tbl>
      <w:tblPr>
        <w:tblStyle w:val="TableGrid"/>
        <w:tblW w:w="0" w:type="auto"/>
        <w:tblLook w:val="04A0" w:firstRow="1" w:lastRow="0" w:firstColumn="1" w:lastColumn="0" w:noHBand="0" w:noVBand="1"/>
      </w:tblPr>
      <w:tblGrid>
        <w:gridCol w:w="9286"/>
      </w:tblGrid>
      <w:tr w:rsidR="00170010" w14:paraId="43DB971A" w14:textId="77777777" w:rsidTr="00170010">
        <w:tc>
          <w:tcPr>
            <w:tcW w:w="9286" w:type="dxa"/>
          </w:tcPr>
          <w:p w14:paraId="43DB9715" w14:textId="77777777" w:rsidR="00170010" w:rsidRPr="0006364B" w:rsidRDefault="00821EDE" w:rsidP="00302A2E">
            <w:pPr>
              <w:pStyle w:val="BoxHeading"/>
            </w:pPr>
            <w:r>
              <w:lastRenderedPageBreak/>
              <w:t>Case study 9</w:t>
            </w:r>
            <w:r w:rsidR="00B15266">
              <w:t xml:space="preserve"> — </w:t>
            </w:r>
            <w:r w:rsidR="00170010" w:rsidRPr="0006364B">
              <w:t>Group buying</w:t>
            </w:r>
          </w:p>
          <w:p w14:paraId="43DB9716" w14:textId="51DF4081" w:rsidR="00170010" w:rsidRPr="0006364B" w:rsidRDefault="00170010" w:rsidP="00FB12B9">
            <w:pPr>
              <w:pStyle w:val="BoxText"/>
              <w:jc w:val="left"/>
            </w:pPr>
            <w:r w:rsidRPr="0006364B">
              <w:t>Group buying websites emerged in Australia and New Zealand in 2010 and became increasingly popular in 2011</w:t>
            </w:r>
            <w:r w:rsidR="00433B24">
              <w:t xml:space="preserve">. </w:t>
            </w:r>
            <w:r w:rsidRPr="0006364B">
              <w:t>These sites sell vouchers online for discounted goods and services for a limited time, usually on the condition that a minimum number of purchasers take up the deal.</w:t>
            </w:r>
          </w:p>
          <w:p w14:paraId="43DB9717" w14:textId="44044493" w:rsidR="00170010" w:rsidRPr="0006364B" w:rsidRDefault="00170010" w:rsidP="00FB12B9">
            <w:pPr>
              <w:pStyle w:val="BoxText"/>
              <w:jc w:val="left"/>
            </w:pPr>
            <w:r w:rsidRPr="0006364B">
              <w:t xml:space="preserve">In early 2011 </w:t>
            </w:r>
            <w:r w:rsidR="00956FCB">
              <w:t>consumer</w:t>
            </w:r>
            <w:r w:rsidRPr="0006364B">
              <w:t xml:space="preserve"> </w:t>
            </w:r>
            <w:r w:rsidR="007F41D0">
              <w:t xml:space="preserve">agencies </w:t>
            </w:r>
            <w:r w:rsidRPr="0006364B">
              <w:t>noted a significant and sustained increase in complaints about group buying</w:t>
            </w:r>
            <w:r w:rsidR="00433B24">
              <w:t xml:space="preserve">. </w:t>
            </w:r>
            <w:r w:rsidRPr="0006364B">
              <w:t xml:space="preserve">The </w:t>
            </w:r>
            <w:r>
              <w:t>increasing popularity</w:t>
            </w:r>
            <w:r w:rsidRPr="0006364B">
              <w:t xml:space="preserve"> </w:t>
            </w:r>
            <w:r>
              <w:t>of</w:t>
            </w:r>
            <w:r w:rsidRPr="001E1D60">
              <w:t xml:space="preserve"> </w:t>
            </w:r>
            <w:r>
              <w:t>group buying</w:t>
            </w:r>
            <w:r w:rsidRPr="0006364B">
              <w:t xml:space="preserve"> also led to </w:t>
            </w:r>
            <w:r>
              <w:t>concerns about</w:t>
            </w:r>
            <w:r w:rsidRPr="0006364B">
              <w:t xml:space="preserve"> its impact on consumers and small businesses</w:t>
            </w:r>
            <w:r w:rsidR="00433B24">
              <w:t xml:space="preserve">. </w:t>
            </w:r>
            <w:r w:rsidRPr="0006364B">
              <w:t xml:space="preserve">By </w:t>
            </w:r>
            <w:r>
              <w:t>mid</w:t>
            </w:r>
            <w:r w:rsidR="00433B24">
              <w:noBreakHyphen/>
            </w:r>
            <w:r w:rsidRPr="00843CF1">
              <w:t>2011</w:t>
            </w:r>
            <w:r w:rsidRPr="0006364B">
              <w:t xml:space="preserve"> </w:t>
            </w:r>
            <w:r w:rsidR="00956FCB">
              <w:t xml:space="preserve">consumer </w:t>
            </w:r>
            <w:r w:rsidR="007F41D0">
              <w:t>agencies</w:t>
            </w:r>
            <w:r w:rsidRPr="0006364B">
              <w:t>’ shared concern about the impact of group buying</w:t>
            </w:r>
            <w:r w:rsidR="00963CB6">
              <w:t xml:space="preserve"> </w:t>
            </w:r>
            <w:r w:rsidRPr="0006364B">
              <w:t>led to ongoing discussion at FTOG and confirmed the view that national cooperation was appropriate to tackle issues in this market sector.</w:t>
            </w:r>
          </w:p>
          <w:p w14:paraId="43DB9718" w14:textId="0101EB10" w:rsidR="00880F8C" w:rsidRDefault="00BB28EF" w:rsidP="00FB12B9">
            <w:pPr>
              <w:pStyle w:val="BoxText"/>
              <w:jc w:val="left"/>
            </w:pPr>
            <w:r>
              <w:t>An</w:t>
            </w:r>
            <w:r w:rsidR="00880F8C" w:rsidRPr="00E92463">
              <w:t xml:space="preserve"> analysis of national data </w:t>
            </w:r>
            <w:r>
              <w:t xml:space="preserve">demonstrated </w:t>
            </w:r>
            <w:r w:rsidR="00880F8C" w:rsidRPr="00E92463">
              <w:t xml:space="preserve">that after peaking in May 2012 at more than 800 cases, complaints to </w:t>
            </w:r>
            <w:r w:rsidR="0053798B">
              <w:t>consumer agencies</w:t>
            </w:r>
            <w:r w:rsidR="00880F8C" w:rsidRPr="00E92463">
              <w:t xml:space="preserve"> have roughly halved by September 2012. On an individual level, all major group buying traders have shown significant improvement over the course of the project</w:t>
            </w:r>
            <w:r w:rsidR="00433B24">
              <w:t xml:space="preserve">. </w:t>
            </w:r>
            <w:r w:rsidR="00170010" w:rsidRPr="0006364B">
              <w:t xml:space="preserve">As the project concludes, it is anticipated that a certain number of investigations into traders will remain ongoing and many of the initiatives established under the national project will continue </w:t>
            </w:r>
            <w:r w:rsidR="00BD4D4E">
              <w:t xml:space="preserve">and become </w:t>
            </w:r>
            <w:r w:rsidR="00170010" w:rsidRPr="0006364B">
              <w:t>busine</w:t>
            </w:r>
            <w:r w:rsidR="00170010">
              <w:t xml:space="preserve">ss as usual for </w:t>
            </w:r>
            <w:r w:rsidR="000D7BE1">
              <w:t>consumer</w:t>
            </w:r>
            <w:r w:rsidR="00170010">
              <w:t xml:space="preserve"> </w:t>
            </w:r>
            <w:r w:rsidR="007F41D0">
              <w:t>agencies</w:t>
            </w:r>
            <w:r w:rsidR="00170010">
              <w:t>.</w:t>
            </w:r>
          </w:p>
          <w:p w14:paraId="43DB9719" w14:textId="376CB7EB" w:rsidR="00170010" w:rsidRDefault="00880F8C" w:rsidP="00FB12B9">
            <w:pPr>
              <w:pStyle w:val="BoxText"/>
              <w:jc w:val="left"/>
            </w:pPr>
            <w:r w:rsidRPr="0006364B">
              <w:t xml:space="preserve">Through the implementation of the coordinated approach to this industry, clear lines of communication and cooperation between </w:t>
            </w:r>
            <w:r>
              <w:t>consumer</w:t>
            </w:r>
            <w:r w:rsidRPr="0006364B">
              <w:t xml:space="preserve"> </w:t>
            </w:r>
            <w:r>
              <w:t>agencies</w:t>
            </w:r>
            <w:r w:rsidRPr="0006364B">
              <w:t xml:space="preserve"> have been established</w:t>
            </w:r>
            <w:r>
              <w:t xml:space="preserve"> and</w:t>
            </w:r>
            <w:r w:rsidRPr="0006364B">
              <w:t xml:space="preserve"> are a model for future work at a national level</w:t>
            </w:r>
            <w:r w:rsidR="00433B24">
              <w:t xml:space="preserve">. </w:t>
            </w:r>
          </w:p>
        </w:tc>
      </w:tr>
    </w:tbl>
    <w:p w14:paraId="43DB971B" w14:textId="77777777" w:rsidR="0062161A" w:rsidRPr="00B7618F" w:rsidRDefault="00651F8E" w:rsidP="0062161A">
      <w:pPr>
        <w:pStyle w:val="Heading3"/>
      </w:pPr>
      <w:bookmarkStart w:id="93" w:name="_Toc342299534"/>
      <w:bookmarkStart w:id="94" w:name="_Toc342381497"/>
      <w:r>
        <w:t>Supporting business compliance with the ACL</w:t>
      </w:r>
      <w:bookmarkEnd w:id="93"/>
      <w:bookmarkEnd w:id="94"/>
    </w:p>
    <w:p w14:paraId="43DB971C" w14:textId="70FFC765" w:rsidR="003152E7" w:rsidRDefault="00651F8E" w:rsidP="0062161A">
      <w:r w:rsidRPr="0062161A">
        <w:t>CDRAC</w:t>
      </w:r>
      <w:r>
        <w:t xml:space="preserve"> has </w:t>
      </w:r>
      <w:r w:rsidR="00B32D5D">
        <w:t xml:space="preserve">coordinated effectively </w:t>
      </w:r>
      <w:r>
        <w:t>with</w:t>
      </w:r>
      <w:r w:rsidRPr="0062161A">
        <w:t xml:space="preserve"> EIAC to</w:t>
      </w:r>
      <w:r>
        <w:t xml:space="preserve"> </w:t>
      </w:r>
      <w:r w:rsidRPr="0062161A">
        <w:t>develop a simple ACL checklist that will guide small businesses towards key ACL information relating to their business activities</w:t>
      </w:r>
      <w:r w:rsidR="00433B24">
        <w:t xml:space="preserve">. </w:t>
      </w:r>
      <w:r w:rsidR="0062161A" w:rsidRPr="0062161A">
        <w:t>The checklist encourages businesses to conduct a self</w:t>
      </w:r>
      <w:r w:rsidR="00433B24">
        <w:noBreakHyphen/>
      </w:r>
      <w:r w:rsidR="0062161A" w:rsidRPr="0062161A">
        <w:t xml:space="preserve">audit to identify which of their activities are regulated under the ACL, and how they can find more information to ensure compliance. </w:t>
      </w:r>
    </w:p>
    <w:p w14:paraId="43DB971D" w14:textId="77777777" w:rsidR="003152E7" w:rsidRDefault="003152E7">
      <w:pPr>
        <w:spacing w:after="0" w:line="240" w:lineRule="auto"/>
      </w:pPr>
      <w:r>
        <w:br w:type="page"/>
      </w:r>
    </w:p>
    <w:p w14:paraId="43DB971E" w14:textId="77777777" w:rsidR="00655700" w:rsidRDefault="00655700" w:rsidP="00655700">
      <w:pPr>
        <w:pStyle w:val="Heading1"/>
      </w:pPr>
      <w:bookmarkStart w:id="95" w:name="_Toc342299535"/>
      <w:bookmarkStart w:id="96" w:name="_Toc342381498"/>
      <w:r>
        <w:lastRenderedPageBreak/>
        <w:t>Product safety</w:t>
      </w:r>
      <w:bookmarkEnd w:id="95"/>
      <w:bookmarkEnd w:id="96"/>
    </w:p>
    <w:tbl>
      <w:tblPr>
        <w:tblStyle w:val="TableGrid"/>
        <w:tblW w:w="0" w:type="auto"/>
        <w:tblLook w:val="04A0" w:firstRow="1" w:lastRow="0" w:firstColumn="1" w:lastColumn="0" w:noHBand="0" w:noVBand="1"/>
      </w:tblPr>
      <w:tblGrid>
        <w:gridCol w:w="9286"/>
      </w:tblGrid>
      <w:tr w:rsidR="00655700" w14:paraId="43DB9721" w14:textId="77777777" w:rsidTr="00A70D1D">
        <w:tc>
          <w:tcPr>
            <w:tcW w:w="9286" w:type="dxa"/>
          </w:tcPr>
          <w:p w14:paraId="43DB971F" w14:textId="77777777" w:rsidR="00655700" w:rsidRDefault="00655700" w:rsidP="00302A2E">
            <w:pPr>
              <w:pStyle w:val="BoxHeading"/>
            </w:pPr>
            <w:bookmarkStart w:id="97" w:name="_Toc342299536"/>
            <w:r>
              <w:t>Summary</w:t>
            </w:r>
            <w:bookmarkEnd w:id="97"/>
          </w:p>
          <w:p w14:paraId="43DB9720" w14:textId="26E75653" w:rsidR="00655700" w:rsidRPr="0062161A" w:rsidRDefault="00CB5003" w:rsidP="00FB12B9">
            <w:pPr>
              <w:pStyle w:val="BoxText"/>
              <w:jc w:val="left"/>
            </w:pPr>
            <w:r>
              <w:t>In 2011</w:t>
            </w:r>
            <w:r w:rsidR="00433B24">
              <w:noBreakHyphen/>
            </w:r>
            <w:r>
              <w:t>12</w:t>
            </w:r>
            <w:r w:rsidR="00A243FB">
              <w:t>,</w:t>
            </w:r>
            <w:r>
              <w:t xml:space="preserve"> </w:t>
            </w:r>
            <w:r w:rsidR="000D7BE1">
              <w:t>consumer</w:t>
            </w:r>
            <w:r w:rsidR="00031C51">
              <w:t xml:space="preserve"> agencies continued to promote, maintain and achieve compliance with Australia’s product safety system</w:t>
            </w:r>
            <w:r w:rsidR="00433B24">
              <w:t xml:space="preserve">. </w:t>
            </w:r>
            <w:r w:rsidR="00031C51">
              <w:t>Key work included educating traders and consumers on the safe supply, purchase and use of regulated products</w:t>
            </w:r>
            <w:r w:rsidR="00433B24">
              <w:t xml:space="preserve">. </w:t>
            </w:r>
            <w:r w:rsidR="00031C51">
              <w:t xml:space="preserve">Compliance activities included targeted campaigns, such as the 2011 Christmas toy survey, and </w:t>
            </w:r>
            <w:r w:rsidR="000D7BE1">
              <w:t>consumer</w:t>
            </w:r>
            <w:r w:rsidR="00031C51">
              <w:t xml:space="preserve"> agencies continued to monitor and assess emerging hazards.</w:t>
            </w:r>
          </w:p>
        </w:tc>
      </w:tr>
    </w:tbl>
    <w:p w14:paraId="43DB9722" w14:textId="77777777" w:rsidR="00655700" w:rsidRDefault="00655700" w:rsidP="00655700">
      <w:pPr>
        <w:pStyle w:val="Heading2"/>
      </w:pPr>
      <w:bookmarkStart w:id="98" w:name="_Toc342299537"/>
      <w:bookmarkStart w:id="99" w:name="_Toc342381499"/>
      <w:r>
        <w:t>Overview</w:t>
      </w:r>
      <w:bookmarkEnd w:id="98"/>
      <w:bookmarkEnd w:id="99"/>
    </w:p>
    <w:p w14:paraId="43DB9723" w14:textId="7337D96B" w:rsidR="00655700" w:rsidRPr="00B34248" w:rsidRDefault="00D07D7D" w:rsidP="00655700">
      <w:r>
        <w:t>T</w:t>
      </w:r>
      <w:r w:rsidR="00655700">
        <w:t xml:space="preserve">he PSCC has </w:t>
      </w:r>
      <w:r w:rsidR="0089188A">
        <w:t>supported coordinated efforts</w:t>
      </w:r>
      <w:r w:rsidR="00655700">
        <w:t xml:space="preserve"> to ensure suppliers are aware of their</w:t>
      </w:r>
      <w:r w:rsidR="0089188A">
        <w:t xml:space="preserve"> ACL product safety obligations</w:t>
      </w:r>
      <w:r w:rsidR="00433B24">
        <w:t xml:space="preserve">. </w:t>
      </w:r>
      <w:r w:rsidR="0089188A">
        <w:t>The PSCC has undertaken strategic and</w:t>
      </w:r>
      <w:r w:rsidR="00655700">
        <w:t xml:space="preserve"> integrated compliance program</w:t>
      </w:r>
      <w:r w:rsidR="0089188A">
        <w:t>s on behalf of consumer agencies</w:t>
      </w:r>
      <w:r w:rsidR="00433B24">
        <w:t xml:space="preserve">. </w:t>
      </w:r>
      <w:r w:rsidR="00655700">
        <w:t>In addition, t</w:t>
      </w:r>
      <w:r w:rsidR="00655700" w:rsidRPr="00F96F6E">
        <w:t>he PSCC continues to</w:t>
      </w:r>
      <w:r w:rsidR="00655700">
        <w:t xml:space="preserve"> assess emerging hazards </w:t>
      </w:r>
      <w:r w:rsidR="0089188A">
        <w:t xml:space="preserve">and </w:t>
      </w:r>
      <w:r w:rsidR="00655700" w:rsidRPr="00B34248">
        <w:t>work</w:t>
      </w:r>
      <w:r w:rsidR="0089188A">
        <w:t xml:space="preserve"> </w:t>
      </w:r>
      <w:r w:rsidR="00655700" w:rsidRPr="00B34248">
        <w:t>collaboratively</w:t>
      </w:r>
      <w:r w:rsidR="00655700" w:rsidRPr="0005195C">
        <w:t xml:space="preserve"> </w:t>
      </w:r>
      <w:r w:rsidR="00655700" w:rsidRPr="00B34248">
        <w:t>to revise</w:t>
      </w:r>
      <w:r w:rsidR="00655700">
        <w:t xml:space="preserve"> existing</w:t>
      </w:r>
      <w:r w:rsidR="00655700" w:rsidRPr="00B34248">
        <w:t xml:space="preserve"> and</w:t>
      </w:r>
      <w:r w:rsidR="00655700">
        <w:t xml:space="preserve"> develop new</w:t>
      </w:r>
      <w:r w:rsidR="00655700" w:rsidRPr="00B34248">
        <w:t xml:space="preserve"> regulations</w:t>
      </w:r>
      <w:r w:rsidR="00655700">
        <w:t>.</w:t>
      </w:r>
      <w:r w:rsidR="00655700" w:rsidRPr="00B34248">
        <w:t xml:space="preserve"> </w:t>
      </w:r>
    </w:p>
    <w:p w14:paraId="43DB9724" w14:textId="77777777" w:rsidR="00655700" w:rsidRDefault="00655700" w:rsidP="00655700">
      <w:pPr>
        <w:pStyle w:val="Heading3"/>
      </w:pPr>
      <w:bookmarkStart w:id="100" w:name="_Toc342299538"/>
      <w:bookmarkStart w:id="101" w:name="_Toc342381500"/>
      <w:r>
        <w:t>Promoting product safety in the community</w:t>
      </w:r>
      <w:bookmarkEnd w:id="100"/>
      <w:bookmarkEnd w:id="101"/>
    </w:p>
    <w:p w14:paraId="43DB9725" w14:textId="7D508424" w:rsidR="00655700" w:rsidRDefault="00655700" w:rsidP="00655700">
      <w:r w:rsidRPr="00C52242">
        <w:t>The national DIY vehicle mainten</w:t>
      </w:r>
      <w:r>
        <w:t xml:space="preserve">ance safety education campaign: </w:t>
      </w:r>
      <w:r w:rsidRPr="00EC170F">
        <w:rPr>
          <w:i/>
        </w:rPr>
        <w:t>Don’t be a jackass with jacks</w:t>
      </w:r>
      <w:r>
        <w:t>—</w:t>
      </w:r>
      <w:r w:rsidRPr="00C52242">
        <w:t xml:space="preserve">was launched in September 2011 and </w:t>
      </w:r>
      <w:r>
        <w:t xml:space="preserve">ran until the end of </w:t>
      </w:r>
      <w:r w:rsidRPr="00C52242">
        <w:t>February 2012</w:t>
      </w:r>
      <w:r w:rsidR="00433B24">
        <w:t xml:space="preserve">. </w:t>
      </w:r>
      <w:r w:rsidRPr="00C52242">
        <w:t>The campaign was a joint i</w:t>
      </w:r>
      <w:r>
        <w:t xml:space="preserve">nitiative between </w:t>
      </w:r>
      <w:r w:rsidR="008E209F">
        <w:t>consumer</w:t>
      </w:r>
      <w:r>
        <w:t xml:space="preserve"> </w:t>
      </w:r>
      <w:r w:rsidR="007F41D0">
        <w:t>agencies</w:t>
      </w:r>
      <w:r w:rsidR="007F41D0" w:rsidRPr="00C52242">
        <w:t xml:space="preserve"> </w:t>
      </w:r>
      <w:r w:rsidRPr="00C52242">
        <w:t>aimed at curbing death and serious injury among DIY home mechanics</w:t>
      </w:r>
      <w:r w:rsidR="00433B24">
        <w:t xml:space="preserve">. </w:t>
      </w:r>
      <w:r w:rsidRPr="00C52242">
        <w:t>The campaign focussed on the safe use of severa</w:t>
      </w:r>
      <w:r>
        <w:t>l regulated products such as v</w:t>
      </w:r>
      <w:r w:rsidRPr="00C52242">
        <w:t>ehicle jacks</w:t>
      </w:r>
      <w:r>
        <w:t>,</w:t>
      </w:r>
      <w:r w:rsidRPr="00C52242">
        <w:t xml:space="preserve"> trolley jacks</w:t>
      </w:r>
      <w:r>
        <w:t xml:space="preserve">, </w:t>
      </w:r>
      <w:r w:rsidRPr="00C52242">
        <w:t>vehicle support stands</w:t>
      </w:r>
      <w:r>
        <w:t xml:space="preserve"> and </w:t>
      </w:r>
      <w:r w:rsidRPr="00C52242">
        <w:t>vehicle ramps</w:t>
      </w:r>
      <w:r>
        <w:t xml:space="preserve"> and included a market surveillance component</w:t>
      </w:r>
      <w:r w:rsidR="00433B24">
        <w:t xml:space="preserve">. </w:t>
      </w:r>
    </w:p>
    <w:p w14:paraId="43DB9726" w14:textId="70B78D60" w:rsidR="00655700" w:rsidRDefault="00655700" w:rsidP="00655700">
      <w:r>
        <w:t xml:space="preserve">The campaign used a variety of traditional and new media sources to raise awareness of the risks of working under a vehicle </w:t>
      </w:r>
      <w:r w:rsidR="008E209F">
        <w:t>to reach the</w:t>
      </w:r>
      <w:r>
        <w:t xml:space="preserve"> target audience</w:t>
      </w:r>
      <w:r w:rsidR="00433B24">
        <w:t xml:space="preserve">. </w:t>
      </w:r>
      <w:r w:rsidR="008E209F">
        <w:t xml:space="preserve">Key safety messages were delivered and feedback was received through discussions in car forums, </w:t>
      </w:r>
      <w:r>
        <w:t>a mobile website and an online competition</w:t>
      </w:r>
      <w:r w:rsidR="00433B24">
        <w:t xml:space="preserve">. </w:t>
      </w:r>
      <w:r w:rsidR="008E209F">
        <w:t>A</w:t>
      </w:r>
      <w:r>
        <w:t xml:space="preserve"> pres</w:t>
      </w:r>
      <w:r w:rsidR="008E209F">
        <w:t xml:space="preserve">ence in online forums </w:t>
      </w:r>
      <w:r>
        <w:t xml:space="preserve">generated very useful and interesting conversations about safe use. </w:t>
      </w:r>
    </w:p>
    <w:p w14:paraId="43DB9727" w14:textId="54FA7A66" w:rsidR="000B42EA" w:rsidRDefault="00655700" w:rsidP="00655700">
      <w:r>
        <w:t xml:space="preserve">A </w:t>
      </w:r>
      <w:r w:rsidRPr="00080E73">
        <w:t>national</w:t>
      </w:r>
      <w:r>
        <w:t xml:space="preserve"> education campaign targeted to </w:t>
      </w:r>
      <w:r w:rsidRPr="00080E73">
        <w:t>discount variety store</w:t>
      </w:r>
      <w:r>
        <w:t>s was</w:t>
      </w:r>
      <w:r w:rsidRPr="00080E73">
        <w:t xml:space="preserve"> jointly led by Victoria and New South Wales</w:t>
      </w:r>
      <w:r>
        <w:t xml:space="preserve"> with the aim of improving the level of compliance of safe products in this sector</w:t>
      </w:r>
      <w:r w:rsidR="00433B24">
        <w:t xml:space="preserve">. </w:t>
      </w:r>
      <w:r>
        <w:t>O</w:t>
      </w:r>
      <w:r w:rsidRPr="00080E73">
        <w:t>utput</w:t>
      </w:r>
      <w:r>
        <w:t>s</w:t>
      </w:r>
      <w:r w:rsidRPr="00080E73">
        <w:t xml:space="preserve"> from this campaign </w:t>
      </w:r>
      <w:r>
        <w:t>include a product safety guide</w:t>
      </w:r>
      <w:r w:rsidRPr="00080E73">
        <w:t xml:space="preserve"> </w:t>
      </w:r>
      <w:r>
        <w:t xml:space="preserve">which was published in Chinese and Vietnamese as well as a </w:t>
      </w:r>
      <w:r w:rsidRPr="00080E73">
        <w:t>national distribution strategy</w:t>
      </w:r>
      <w:r>
        <w:t xml:space="preserve"> and a market surveillance program</w:t>
      </w:r>
      <w:r w:rsidR="00433B24">
        <w:t xml:space="preserve">. </w:t>
      </w:r>
    </w:p>
    <w:p w14:paraId="43DB9728" w14:textId="77777777" w:rsidR="00655700" w:rsidRDefault="00655700" w:rsidP="00655700">
      <w:pPr>
        <w:pStyle w:val="Heading3"/>
      </w:pPr>
      <w:bookmarkStart w:id="102" w:name="_Toc342299539"/>
      <w:bookmarkStart w:id="103" w:name="_Toc342381501"/>
      <w:r>
        <w:t>Achieving compliance with Australia’s product safety system</w:t>
      </w:r>
      <w:bookmarkEnd w:id="102"/>
      <w:bookmarkEnd w:id="103"/>
    </w:p>
    <w:p w14:paraId="43DB9729" w14:textId="0F7C6478" w:rsidR="00051EAA" w:rsidRDefault="00655700" w:rsidP="00655700">
      <w:r>
        <w:t xml:space="preserve">The first </w:t>
      </w:r>
      <w:r w:rsidRPr="0005120C">
        <w:t>national</w:t>
      </w:r>
      <w:r>
        <w:t xml:space="preserve"> product safety survey program for 2011</w:t>
      </w:r>
      <w:r w:rsidR="00433B24">
        <w:noBreakHyphen/>
      </w:r>
      <w:r>
        <w:t>1</w:t>
      </w:r>
      <w:r w:rsidRPr="0005120C">
        <w:t>2 concluded on 30</w:t>
      </w:r>
      <w:r w:rsidR="00A243FB">
        <w:t> </w:t>
      </w:r>
      <w:r w:rsidRPr="0005120C">
        <w:t>November</w:t>
      </w:r>
      <w:r w:rsidR="00A243FB">
        <w:t> </w:t>
      </w:r>
      <w:r w:rsidRPr="0005120C">
        <w:t xml:space="preserve">2011. </w:t>
      </w:r>
      <w:r>
        <w:t>This inspection program included the pre</w:t>
      </w:r>
      <w:r w:rsidR="00433B24">
        <w:noBreakHyphen/>
      </w:r>
      <w:r>
        <w:t xml:space="preserve">Christmas toy survey (see Case study </w:t>
      </w:r>
      <w:r w:rsidR="00DD7BC6">
        <w:t>10</w:t>
      </w:r>
      <w:r>
        <w:t>) and products associated with the DIY education campaign</w:t>
      </w:r>
      <w:r w:rsidR="00433B24">
        <w:t xml:space="preserve">. </w:t>
      </w:r>
    </w:p>
    <w:p w14:paraId="43DB972A" w14:textId="1BDED009" w:rsidR="004A2987" w:rsidRDefault="004A2987" w:rsidP="004A2987">
      <w:pPr>
        <w:spacing w:before="240"/>
      </w:pPr>
      <w:r w:rsidRPr="00AE0012">
        <w:t>The</w:t>
      </w:r>
      <w:r>
        <w:t xml:space="preserve"> second</w:t>
      </w:r>
      <w:r w:rsidRPr="00AE0012">
        <w:t xml:space="preserve"> national surveillance program</w:t>
      </w:r>
      <w:r>
        <w:t xml:space="preserve"> for </w:t>
      </w:r>
      <w:r w:rsidRPr="00AE0012">
        <w:t>20</w:t>
      </w:r>
      <w:r>
        <w:t>11</w:t>
      </w:r>
      <w:r w:rsidR="00433B24">
        <w:noBreakHyphen/>
      </w:r>
      <w:r w:rsidRPr="00AE0012">
        <w:t>12 was endorsed by CDRAC on 20</w:t>
      </w:r>
      <w:r>
        <w:t> </w:t>
      </w:r>
      <w:r w:rsidRPr="00AE0012">
        <w:t>February</w:t>
      </w:r>
      <w:r>
        <w:t> </w:t>
      </w:r>
      <w:r w:rsidRPr="00AE0012">
        <w:t>2012</w:t>
      </w:r>
      <w:r>
        <w:t xml:space="preserve"> and ran from 1 March to 30 June 2012</w:t>
      </w:r>
      <w:r w:rsidR="00433B24">
        <w:t xml:space="preserve">. </w:t>
      </w:r>
      <w:r>
        <w:t>The focus of this survey wa</w:t>
      </w:r>
      <w:r w:rsidRPr="00AE0012">
        <w:t>s</w:t>
      </w:r>
      <w:r>
        <w:t xml:space="preserve"> on b</w:t>
      </w:r>
      <w:r w:rsidRPr="00AE0012">
        <w:t>aby dummies with decorations</w:t>
      </w:r>
      <w:r>
        <w:t>, b</w:t>
      </w:r>
      <w:r w:rsidRPr="00AE0012">
        <w:t>aby dummy chains with decorations</w:t>
      </w:r>
      <w:r>
        <w:t>, b</w:t>
      </w:r>
      <w:r w:rsidRPr="00AE0012">
        <w:t>abies’ dummies</w:t>
      </w:r>
      <w:r>
        <w:t>, b</w:t>
      </w:r>
      <w:r w:rsidRPr="00AE0012">
        <w:t>aby walkers</w:t>
      </w:r>
      <w:r>
        <w:t>, child restraints, c</w:t>
      </w:r>
      <w:r w:rsidRPr="00AE0012">
        <w:t>hildren’s nightwear</w:t>
      </w:r>
      <w:r>
        <w:t>, cosmetics labelling on</w:t>
      </w:r>
      <w:r w:rsidRPr="00AE0012">
        <w:t xml:space="preserve"> baby products</w:t>
      </w:r>
      <w:r>
        <w:t>, h</w:t>
      </w:r>
      <w:r w:rsidRPr="00AE0012">
        <w:t>ousehold cots</w:t>
      </w:r>
      <w:r>
        <w:t>, portable cots, p</w:t>
      </w:r>
      <w:r w:rsidRPr="00AE0012">
        <w:t>rams and strollers</w:t>
      </w:r>
      <w:r>
        <w:t>.</w:t>
      </w:r>
      <w:r w:rsidRPr="00685472">
        <w:t xml:space="preserve"> </w:t>
      </w:r>
    </w:p>
    <w:p w14:paraId="43DB972B" w14:textId="1E4DCE93" w:rsidR="00655700" w:rsidRDefault="004A2987" w:rsidP="004A2987">
      <w:r>
        <w:lastRenderedPageBreak/>
        <w:t>A PSCC working party wa</w:t>
      </w:r>
      <w:r w:rsidRPr="004D01D7">
        <w:t>s c</w:t>
      </w:r>
      <w:r>
        <w:t>onvened</w:t>
      </w:r>
      <w:r w:rsidRPr="004D01D7">
        <w:t xml:space="preserve"> to conside</w:t>
      </w:r>
      <w:r>
        <w:t>r the implementation of a more strategic</w:t>
      </w:r>
      <w:r w:rsidRPr="004D01D7">
        <w:t xml:space="preserve"> </w:t>
      </w:r>
      <w:r>
        <w:t xml:space="preserve">and </w:t>
      </w:r>
      <w:r w:rsidRPr="004D01D7">
        <w:t>integrated compliance program</w:t>
      </w:r>
      <w:r w:rsidR="00433B24">
        <w:t xml:space="preserve">. </w:t>
      </w:r>
      <w:r>
        <w:t xml:space="preserve">The working party considered an </w:t>
      </w:r>
      <w:r w:rsidRPr="004D01D7">
        <w:t>approach to compliance</w:t>
      </w:r>
      <w:r>
        <w:t xml:space="preserve"> that would incorporate an educative element </w:t>
      </w:r>
      <w:r w:rsidRPr="004D01D7">
        <w:t>going forward to ensure ongoing industry compliance and efficient use of resources</w:t>
      </w:r>
      <w:r w:rsidR="00433B24">
        <w:t xml:space="preserve">. </w:t>
      </w:r>
    </w:p>
    <w:tbl>
      <w:tblPr>
        <w:tblStyle w:val="TableGrid"/>
        <w:tblW w:w="0" w:type="auto"/>
        <w:tblLook w:val="04A0" w:firstRow="1" w:lastRow="0" w:firstColumn="1" w:lastColumn="0" w:noHBand="0" w:noVBand="1"/>
      </w:tblPr>
      <w:tblGrid>
        <w:gridCol w:w="9286"/>
      </w:tblGrid>
      <w:tr w:rsidR="000B42EA" w14:paraId="43DB9737" w14:textId="77777777" w:rsidTr="000B42EA">
        <w:tc>
          <w:tcPr>
            <w:tcW w:w="9286" w:type="dxa"/>
          </w:tcPr>
          <w:p w14:paraId="43DB972C" w14:textId="182DEA4F" w:rsidR="000B42EA" w:rsidRPr="0006364B" w:rsidRDefault="000B42EA" w:rsidP="00302A2E">
            <w:pPr>
              <w:pStyle w:val="BoxHeading"/>
            </w:pPr>
            <w:r>
              <w:t xml:space="preserve">Case study 10 — </w:t>
            </w:r>
            <w:r w:rsidRPr="001E1D60">
              <w:t>Pre</w:t>
            </w:r>
            <w:r w:rsidR="00433B24">
              <w:noBreakHyphen/>
            </w:r>
            <w:r w:rsidRPr="001E1D60">
              <w:t xml:space="preserve">Christmas </w:t>
            </w:r>
            <w:r>
              <w:t>t</w:t>
            </w:r>
            <w:r w:rsidRPr="0006364B">
              <w:t xml:space="preserve">oy </w:t>
            </w:r>
            <w:r>
              <w:t>s</w:t>
            </w:r>
            <w:r w:rsidRPr="0006364B">
              <w:t>urvey</w:t>
            </w:r>
          </w:p>
          <w:p w14:paraId="43DB972D" w14:textId="11A6F0BC" w:rsidR="000B42EA" w:rsidRDefault="000D7BE1" w:rsidP="00FB12B9">
            <w:pPr>
              <w:pStyle w:val="BoxText"/>
              <w:jc w:val="left"/>
              <w:rPr>
                <w:color w:val="auto"/>
              </w:rPr>
            </w:pPr>
            <w:r>
              <w:rPr>
                <w:color w:val="auto"/>
              </w:rPr>
              <w:t>Consumer</w:t>
            </w:r>
            <w:r w:rsidR="000B42EA">
              <w:rPr>
                <w:color w:val="auto"/>
              </w:rPr>
              <w:t xml:space="preserve"> agencies coordinate their product safety activities through </w:t>
            </w:r>
            <w:r w:rsidR="000B42EA">
              <w:t>the PSCC</w:t>
            </w:r>
            <w:r w:rsidR="00433B24">
              <w:t xml:space="preserve">. </w:t>
            </w:r>
            <w:r w:rsidR="000B42EA">
              <w:t xml:space="preserve">The PSCC meets regularly to develop, coordinate and conduct joint national product safety surveillance activities including the annual </w:t>
            </w:r>
            <w:r w:rsidR="000B42EA">
              <w:rPr>
                <w:color w:val="auto"/>
              </w:rPr>
              <w:t>pre</w:t>
            </w:r>
            <w:r w:rsidR="00433B24">
              <w:rPr>
                <w:color w:val="auto"/>
              </w:rPr>
              <w:noBreakHyphen/>
            </w:r>
            <w:r w:rsidR="000B42EA">
              <w:rPr>
                <w:color w:val="auto"/>
              </w:rPr>
              <w:t>Christmas toy survey</w:t>
            </w:r>
            <w:r w:rsidR="00433B24">
              <w:rPr>
                <w:color w:val="auto"/>
              </w:rPr>
              <w:t xml:space="preserve">. </w:t>
            </w:r>
          </w:p>
          <w:p w14:paraId="43DB972E" w14:textId="41A374B1" w:rsidR="000B42EA" w:rsidRDefault="000B42EA" w:rsidP="00FB12B9">
            <w:pPr>
              <w:pStyle w:val="BoxText"/>
              <w:jc w:val="left"/>
              <w:rPr>
                <w:rFonts w:eastAsia="Calibri"/>
              </w:rPr>
            </w:pPr>
            <w:r>
              <w:rPr>
                <w:color w:val="auto"/>
              </w:rPr>
              <w:t>The first pre</w:t>
            </w:r>
            <w:r w:rsidR="00433B24">
              <w:rPr>
                <w:color w:val="auto"/>
              </w:rPr>
              <w:noBreakHyphen/>
            </w:r>
            <w:r>
              <w:rPr>
                <w:color w:val="auto"/>
              </w:rPr>
              <w:t xml:space="preserve">Christmas toy survey to be conducted under the ACL ran from September to December 2011. </w:t>
            </w:r>
            <w:r>
              <w:t xml:space="preserve">The aim of the </w:t>
            </w:r>
            <w:r w:rsidRPr="003339BF">
              <w:t>survey is to ensur</w:t>
            </w:r>
            <w:r>
              <w:t>e</w:t>
            </w:r>
            <w:r w:rsidRPr="003339BF">
              <w:t xml:space="preserve"> that toys </w:t>
            </w:r>
            <w:r>
              <w:t>commonly purchase</w:t>
            </w:r>
            <w:r w:rsidR="00121C57">
              <w:t>d</w:t>
            </w:r>
            <w:r>
              <w:t xml:space="preserve"> </w:t>
            </w:r>
            <w:r>
              <w:rPr>
                <w:rFonts w:eastAsia="Calibri" w:cs="Calibri"/>
                <w:color w:val="auto"/>
                <w:szCs w:val="22"/>
              </w:rPr>
              <w:t>as children’s gifts for Christmas</w:t>
            </w:r>
            <w:r w:rsidRPr="003339BF">
              <w:t xml:space="preserve"> are safe and </w:t>
            </w:r>
            <w:r>
              <w:t>comply with</w:t>
            </w:r>
            <w:r w:rsidRPr="003339BF">
              <w:t xml:space="preserve"> all mandatory</w:t>
            </w:r>
            <w:r>
              <w:t xml:space="preserve"> product safety</w:t>
            </w:r>
            <w:r w:rsidRPr="003339BF">
              <w:t xml:space="preserve"> requirements.</w:t>
            </w:r>
            <w:r>
              <w:t xml:space="preserve"> </w:t>
            </w:r>
          </w:p>
          <w:p w14:paraId="43DB972F" w14:textId="1FC40D07" w:rsidR="000B42EA" w:rsidRPr="0006364B" w:rsidRDefault="000B42EA" w:rsidP="00FB12B9">
            <w:pPr>
              <w:pStyle w:val="BoxText"/>
              <w:jc w:val="left"/>
            </w:pPr>
            <w:r w:rsidRPr="0006364B">
              <w:t>A total of 2,931 retail outlets (including on</w:t>
            </w:r>
            <w:r w:rsidR="00433B24">
              <w:noBreakHyphen/>
            </w:r>
            <w:r w:rsidRPr="0006364B">
              <w:t>line suppliers) were surveyed during the program. The inspection of products involved in</w:t>
            </w:r>
            <w:r w:rsidR="00121C57">
              <w:t>-</w:t>
            </w:r>
            <w:r w:rsidRPr="0006364B">
              <w:t xml:space="preserve">store checking to ensure they have the required safety warning labels, and also </w:t>
            </w:r>
            <w:r>
              <w:t>testing</w:t>
            </w:r>
            <w:r w:rsidRPr="0006364B">
              <w:t xml:space="preserve"> products for lead and other toxic elements.</w:t>
            </w:r>
          </w:p>
          <w:p w14:paraId="43DB9730" w14:textId="3F349784" w:rsidR="000B42EA" w:rsidRPr="0006364B" w:rsidRDefault="000B42EA" w:rsidP="00FB12B9">
            <w:pPr>
              <w:pStyle w:val="BoxText"/>
              <w:jc w:val="left"/>
            </w:pPr>
            <w:r w:rsidRPr="0006364B">
              <w:t>Of the 119,167 products surveyed, 506 breaches were identified. Of these breaches, 166 were non</w:t>
            </w:r>
            <w:r w:rsidR="00433B24">
              <w:noBreakHyphen/>
            </w:r>
            <w:r w:rsidRPr="0006364B">
              <w:t>compliant children’s toys for up to and including 36 months of age and 63 were non</w:t>
            </w:r>
            <w:r w:rsidR="00433B24">
              <w:noBreakHyphen/>
            </w:r>
            <w:r w:rsidRPr="0006364B">
              <w:t xml:space="preserve">compliant aquatic toys. The breaches were subject to various administrative resolutions including withdrawal from sale and/or product recalls. Products supplied in the discount variety sector accounted for the majority of </w:t>
            </w:r>
            <w:r>
              <w:t>breaches</w:t>
            </w:r>
            <w:r w:rsidRPr="0006364B">
              <w:t xml:space="preserve">. </w:t>
            </w:r>
          </w:p>
          <w:p w14:paraId="43DB9731" w14:textId="4A320339" w:rsidR="000B42EA" w:rsidRPr="0006364B" w:rsidRDefault="000B42EA" w:rsidP="00FB12B9">
            <w:pPr>
              <w:pStyle w:val="BoxText"/>
              <w:jc w:val="left"/>
            </w:pPr>
            <w:r w:rsidRPr="0006364B">
              <w:t>The coordination of the survey through the PSCC successfully targeted a wide range of suppliers in specific market sectors. The results of the 2011 pre</w:t>
            </w:r>
            <w:r w:rsidR="00433B24">
              <w:noBreakHyphen/>
            </w:r>
            <w:r w:rsidRPr="0006364B">
              <w:t xml:space="preserve">Christmas toy survey were communicated </w:t>
            </w:r>
            <w:r>
              <w:t>through</w:t>
            </w:r>
            <w:r w:rsidRPr="0006364B">
              <w:t xml:space="preserve"> a media release on the Product Safety Australia website.</w:t>
            </w:r>
          </w:p>
          <w:p w14:paraId="43DB9732" w14:textId="7535F004" w:rsidR="00F6401F" w:rsidRDefault="000D7BE1" w:rsidP="00FB12B9">
            <w:pPr>
              <w:pStyle w:val="BoxText"/>
              <w:jc w:val="left"/>
            </w:pPr>
            <w:r>
              <w:t>Consumer</w:t>
            </w:r>
            <w:r w:rsidR="000B42EA" w:rsidRPr="0006364B">
              <w:t xml:space="preserve"> </w:t>
            </w:r>
            <w:r w:rsidR="000B42EA">
              <w:t>agencies</w:t>
            </w:r>
            <w:r w:rsidR="000B42EA" w:rsidRPr="0006364B">
              <w:t xml:space="preserve"> continue to proactively conduct surveillance operations in the marketplace to ensure suppliers are fulfilling their mandatory requirem</w:t>
            </w:r>
            <w:r w:rsidR="00302A2E">
              <w:t>ents relating to product safety.</w:t>
            </w:r>
          </w:p>
          <w:tbl>
            <w:tblPr>
              <w:tblStyle w:val="TableGrid"/>
              <w:tblW w:w="5000" w:type="pct"/>
              <w:tblLook w:val="04A0" w:firstRow="1" w:lastRow="0" w:firstColumn="1" w:lastColumn="0" w:noHBand="0" w:noVBand="1"/>
            </w:tblPr>
            <w:tblGrid>
              <w:gridCol w:w="3024"/>
              <w:gridCol w:w="3024"/>
              <w:gridCol w:w="3022"/>
            </w:tblGrid>
            <w:tr w:rsidR="00434907" w14:paraId="1C10EB9A" w14:textId="77777777" w:rsidTr="00B90BA1">
              <w:tc>
                <w:tcPr>
                  <w:tcW w:w="1667" w:type="pct"/>
                </w:tcPr>
                <w:p w14:paraId="7698441A" w14:textId="6DBEB1B5" w:rsidR="00434907" w:rsidRDefault="00434907" w:rsidP="00434907">
                  <w:pPr>
                    <w:pStyle w:val="BoxText"/>
                    <w:spacing w:line="240" w:lineRule="auto"/>
                    <w:jc w:val="center"/>
                  </w:pPr>
                  <w:bookmarkStart w:id="104" w:name="_GoBack"/>
                  <w:r>
                    <w:rPr>
                      <w:noProof/>
                    </w:rPr>
                    <w:drawing>
                      <wp:inline distT="0" distB="0" distL="0" distR="0" wp14:anchorId="5B78E1CB" wp14:editId="698AE956">
                        <wp:extent cx="1590040" cy="1222375"/>
                        <wp:effectExtent l="0" t="0" r="0" b="0"/>
                        <wp:docPr id="2" name="Picture 2" descr="In the 2011 pre-Christmas toy survey, ACL regulators uncovered a number of non-compliant toys.  This is an image of a non-compliant toy." title="Picture of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590040" cy="1222375"/>
                                </a:xfrm>
                                <a:prstGeom prst="rect">
                                  <a:avLst/>
                                </a:prstGeom>
                                <a:noFill/>
                                <a:ln>
                                  <a:noFill/>
                                </a:ln>
                              </pic:spPr>
                            </pic:pic>
                          </a:graphicData>
                        </a:graphic>
                      </wp:inline>
                    </w:drawing>
                  </w:r>
                  <w:bookmarkEnd w:id="104"/>
                </w:p>
              </w:tc>
              <w:tc>
                <w:tcPr>
                  <w:tcW w:w="1667" w:type="pct"/>
                </w:tcPr>
                <w:p w14:paraId="4A799753" w14:textId="47E03602" w:rsidR="00434907" w:rsidRDefault="00434907" w:rsidP="00434907">
                  <w:pPr>
                    <w:pStyle w:val="BoxText"/>
                    <w:spacing w:line="240" w:lineRule="auto"/>
                    <w:jc w:val="center"/>
                  </w:pPr>
                  <w:r>
                    <w:rPr>
                      <w:noProof/>
                    </w:rPr>
                    <w:drawing>
                      <wp:inline distT="0" distB="0" distL="0" distR="0" wp14:anchorId="7A837FD8" wp14:editId="2D8BDC30">
                        <wp:extent cx="1615440" cy="1223645"/>
                        <wp:effectExtent l="0" t="0" r="3810" b="0"/>
                        <wp:docPr id="4" name="Picture 4" descr="In the 2011 pre-Christmas toy survey, ACL regulators uncovered a number of non-compliant toys.  This is an image of a non-compliant toy." title="Picture of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615440" cy="1223645"/>
                                </a:xfrm>
                                <a:prstGeom prst="rect">
                                  <a:avLst/>
                                </a:prstGeom>
                                <a:noFill/>
                                <a:ln>
                                  <a:noFill/>
                                </a:ln>
                              </pic:spPr>
                            </pic:pic>
                          </a:graphicData>
                        </a:graphic>
                      </wp:inline>
                    </w:drawing>
                  </w:r>
                </w:p>
              </w:tc>
              <w:tc>
                <w:tcPr>
                  <w:tcW w:w="1666" w:type="pct"/>
                </w:tcPr>
                <w:p w14:paraId="35AF2AFD" w14:textId="11DC4C18" w:rsidR="00434907" w:rsidRDefault="00434907" w:rsidP="00434907">
                  <w:pPr>
                    <w:pStyle w:val="BoxText"/>
                    <w:spacing w:line="240" w:lineRule="auto"/>
                    <w:jc w:val="center"/>
                  </w:pPr>
                  <w:r>
                    <w:rPr>
                      <w:noProof/>
                    </w:rPr>
                    <w:drawing>
                      <wp:inline distT="0" distB="0" distL="0" distR="0" wp14:anchorId="35DE5BDE" wp14:editId="302F9C4C">
                        <wp:extent cx="1270000" cy="1205230"/>
                        <wp:effectExtent l="0" t="0" r="6350" b="0"/>
                        <wp:docPr id="6" name="Picture 6" descr="In the 2011 pre-Christmas toy survey, ACL regulators uncovered a number of non-compliant toys.  This is an image of a non-compliant toy." title="Picture of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270000" cy="1205230"/>
                                </a:xfrm>
                                <a:prstGeom prst="rect">
                                  <a:avLst/>
                                </a:prstGeom>
                                <a:noFill/>
                                <a:ln>
                                  <a:noFill/>
                                </a:ln>
                              </pic:spPr>
                            </pic:pic>
                          </a:graphicData>
                        </a:graphic>
                      </wp:inline>
                    </w:drawing>
                  </w:r>
                </w:p>
              </w:tc>
            </w:tr>
            <w:tr w:rsidR="00B90BA1" w14:paraId="2568ED15" w14:textId="77777777" w:rsidTr="00B90BA1">
              <w:tc>
                <w:tcPr>
                  <w:tcW w:w="5000" w:type="pct"/>
                  <w:gridSpan w:val="3"/>
                </w:tcPr>
                <w:p w14:paraId="72CFB53D" w14:textId="5E010CEC" w:rsidR="00B90BA1" w:rsidRDefault="00B90BA1" w:rsidP="00B90BA1">
                  <w:pPr>
                    <w:pStyle w:val="ChartorTableNote"/>
                  </w:pPr>
                  <w:r>
                    <w:t>Source: Annual Product Safety Survey 2011, NSW Fair Trading</w:t>
                  </w:r>
                </w:p>
              </w:tc>
            </w:tr>
          </w:tbl>
          <w:p w14:paraId="43DB9736" w14:textId="30B4598D" w:rsidR="000B42EA" w:rsidRDefault="000B42EA" w:rsidP="00434907">
            <w:pPr>
              <w:pStyle w:val="SingleParagraph"/>
            </w:pPr>
          </w:p>
        </w:tc>
      </w:tr>
    </w:tbl>
    <w:p w14:paraId="43DB9738" w14:textId="77777777" w:rsidR="00051EAA" w:rsidRDefault="00051EAA" w:rsidP="00E92463"/>
    <w:p w14:paraId="43DB9739" w14:textId="77777777" w:rsidR="00001BBF" w:rsidRDefault="00001BBF">
      <w:pPr>
        <w:spacing w:after="0" w:line="240" w:lineRule="auto"/>
        <w:rPr>
          <w:rFonts w:ascii="Arial" w:hAnsi="Arial" w:cs="Arial"/>
          <w:b/>
          <w:bCs/>
          <w:color w:val="00673A"/>
          <w:sz w:val="26"/>
          <w:szCs w:val="26"/>
        </w:rPr>
      </w:pPr>
      <w:r>
        <w:br w:type="page"/>
      </w:r>
    </w:p>
    <w:p w14:paraId="43DB973A" w14:textId="77777777" w:rsidR="00655700" w:rsidRPr="0005195C" w:rsidRDefault="00655700" w:rsidP="00655700">
      <w:pPr>
        <w:pStyle w:val="Heading3"/>
      </w:pPr>
      <w:bookmarkStart w:id="105" w:name="_Toc342299540"/>
      <w:bookmarkStart w:id="106" w:name="_Toc342381502"/>
      <w:r>
        <w:lastRenderedPageBreak/>
        <w:t>Identifying and assessing emerging hazards</w:t>
      </w:r>
      <w:bookmarkEnd w:id="105"/>
      <w:bookmarkEnd w:id="106"/>
      <w:r w:rsidRPr="00F96F6E">
        <w:t> </w:t>
      </w:r>
    </w:p>
    <w:p w14:paraId="43DB973B" w14:textId="54735939" w:rsidR="00655700" w:rsidRPr="00F96F6E" w:rsidRDefault="000D7BE1" w:rsidP="00655700">
      <w:r>
        <w:t>Consumer</w:t>
      </w:r>
      <w:r w:rsidR="00655700">
        <w:t xml:space="preserve"> </w:t>
      </w:r>
      <w:r w:rsidR="007F41D0">
        <w:t xml:space="preserve">agencies </w:t>
      </w:r>
      <w:r w:rsidR="00655700" w:rsidRPr="00F96F6E">
        <w:t>have continued to collaborate on a range of emerging issues</w:t>
      </w:r>
      <w:r w:rsidR="00655700">
        <w:t>. In 2011</w:t>
      </w:r>
      <w:r w:rsidR="00433B24">
        <w:noBreakHyphen/>
      </w:r>
      <w:r w:rsidR="00655700">
        <w:t>12</w:t>
      </w:r>
      <w:r w:rsidR="004371E2">
        <w:t>,</w:t>
      </w:r>
      <w:r w:rsidR="00655700">
        <w:t xml:space="preserve"> this has included discussions on magnets in toys, flotation aids and hair dyes. </w:t>
      </w:r>
      <w:r w:rsidR="00031C51">
        <w:t xml:space="preserve">Working parties were established to consider </w:t>
      </w:r>
      <w:r w:rsidR="00655700">
        <w:t>emerging hazard</w:t>
      </w:r>
      <w:r w:rsidR="00031C51">
        <w:t>s</w:t>
      </w:r>
      <w:r w:rsidR="00655700">
        <w:t xml:space="preserve"> includ</w:t>
      </w:r>
      <w:r w:rsidR="00031C51">
        <w:t>ing</w:t>
      </w:r>
      <w:r w:rsidR="00655700">
        <w:t>:</w:t>
      </w:r>
    </w:p>
    <w:p w14:paraId="43DB973C" w14:textId="4BDBDA2D" w:rsidR="00655700" w:rsidRPr="00912D9C" w:rsidRDefault="00655700" w:rsidP="00655700">
      <w:pPr>
        <w:pStyle w:val="Bullet"/>
      </w:pPr>
      <w:r>
        <w:t>the appropriateness of national regulation regarding the safety of products (for example bunk beds</w:t>
      </w:r>
      <w:r w:rsidR="00121C57">
        <w:t xml:space="preserve"> in short term accommodation</w:t>
      </w:r>
      <w:r>
        <w:t>)</w:t>
      </w:r>
      <w:r w:rsidR="003C30B1">
        <w:t>;</w:t>
      </w:r>
    </w:p>
    <w:p w14:paraId="43DB973D" w14:textId="77777777" w:rsidR="00655700" w:rsidRDefault="00655700" w:rsidP="00655700">
      <w:pPr>
        <w:pStyle w:val="Bullet"/>
      </w:pPr>
      <w:r>
        <w:t>the installation of evaporative air conditioners in existing homes in bushfire prone zones</w:t>
      </w:r>
      <w:r w:rsidR="003C30B1">
        <w:t>;</w:t>
      </w:r>
    </w:p>
    <w:p w14:paraId="43DB973E" w14:textId="4C4DC9D0" w:rsidR="00655700" w:rsidRDefault="003C30B1" w:rsidP="00655700">
      <w:pPr>
        <w:pStyle w:val="Bullet"/>
      </w:pPr>
      <w:r>
        <w:t>product safety concerns relating to</w:t>
      </w:r>
      <w:r w:rsidR="00655700" w:rsidRPr="00967648">
        <w:t xml:space="preserve"> </w:t>
      </w:r>
      <w:r w:rsidR="00655700">
        <w:t>quad bikes and whether regulatory intervention is required to improve the safety of these products</w:t>
      </w:r>
      <w:r>
        <w:t>; and</w:t>
      </w:r>
    </w:p>
    <w:p w14:paraId="43DB973F" w14:textId="547C14E9" w:rsidR="00655700" w:rsidRDefault="00121C57" w:rsidP="00655700">
      <w:pPr>
        <w:pStyle w:val="Bullet"/>
      </w:pPr>
      <w:r>
        <w:t>the regulation of s</w:t>
      </w:r>
      <w:r w:rsidR="00655700">
        <w:t xml:space="preserve">mall powerful magnets </w:t>
      </w:r>
      <w:r w:rsidR="003C30B1">
        <w:t>that may pose</w:t>
      </w:r>
      <w:r w:rsidR="00655700" w:rsidRPr="00B01AD0">
        <w:t xml:space="preserve"> risk of injury to children</w:t>
      </w:r>
      <w:r w:rsidR="003C30B1">
        <w:t xml:space="preserve"> where they are ingested.</w:t>
      </w:r>
    </w:p>
    <w:p w14:paraId="43DB9740" w14:textId="77777777" w:rsidR="00655700" w:rsidRDefault="00655700" w:rsidP="00655700">
      <w:pPr>
        <w:pStyle w:val="Heading3"/>
      </w:pPr>
      <w:bookmarkStart w:id="107" w:name="_Toc342299541"/>
      <w:bookmarkStart w:id="108" w:name="_Toc342381503"/>
      <w:r>
        <w:t>Maintaining Australia’s product safety system</w:t>
      </w:r>
      <w:bookmarkEnd w:id="107"/>
      <w:bookmarkEnd w:id="108"/>
    </w:p>
    <w:p w14:paraId="43DB9741" w14:textId="0BD07281" w:rsidR="00655700" w:rsidRPr="0005195C" w:rsidRDefault="00655700" w:rsidP="00655700">
      <w:r w:rsidRPr="0005195C">
        <w:t>Permanent bans on babies’ dummies with decorations and babies’ dummy chains with decorations came into effect on 9 September 2011 following the revocation of the former interim bans</w:t>
      </w:r>
      <w:r w:rsidR="00433B24">
        <w:t xml:space="preserve">. </w:t>
      </w:r>
      <w:r w:rsidRPr="0005195C">
        <w:t>The</w:t>
      </w:r>
      <w:r w:rsidR="00121C57">
        <w:t xml:space="preserve"> banned </w:t>
      </w:r>
      <w:r w:rsidRPr="0005195C">
        <w:t>products contain</w:t>
      </w:r>
      <w:r w:rsidR="00121C57">
        <w:t>ed</w:t>
      </w:r>
      <w:r w:rsidRPr="0005195C">
        <w:t xml:space="preserve"> small decorations which c</w:t>
      </w:r>
      <w:r w:rsidR="00121C57">
        <w:t>ould</w:t>
      </w:r>
      <w:r w:rsidRPr="0005195C">
        <w:t xml:space="preserve"> detach and become a small parts chocking, inhalation and ingestion hazard. </w:t>
      </w:r>
    </w:p>
    <w:p w14:paraId="43DB9742" w14:textId="2214CC39" w:rsidR="00655700" w:rsidRPr="0005195C" w:rsidRDefault="00655700" w:rsidP="00655700">
      <w:r w:rsidRPr="0005195C">
        <w:t>The mandatory standard on Tobacco (Graphic Health Warnings) com</w:t>
      </w:r>
      <w:r>
        <w:t xml:space="preserve">menced on </w:t>
      </w:r>
      <w:r w:rsidR="000B42EA">
        <w:br/>
      </w:r>
      <w:r>
        <w:t>1 January 2012 and t</w:t>
      </w:r>
      <w:r w:rsidR="00A243FB">
        <w:t>ook</w:t>
      </w:r>
      <w:r w:rsidRPr="0005195C">
        <w:t xml:space="preserve"> full ef</w:t>
      </w:r>
      <w:r>
        <w:t>fect from 1 December 2012. The s</w:t>
      </w:r>
      <w:r w:rsidRPr="0005195C">
        <w:t>tandard is the first product safety information standard developed under the ACL</w:t>
      </w:r>
      <w:r w:rsidR="00433B24">
        <w:t xml:space="preserve">. </w:t>
      </w:r>
      <w:r w:rsidRPr="0005195C">
        <w:t>A Supplier Guide has been drafted to assist suppliers</w:t>
      </w:r>
      <w:r w:rsidR="00121C57">
        <w:t xml:space="preserve"> to</w:t>
      </w:r>
      <w:r w:rsidRPr="0005195C">
        <w:t xml:space="preserve"> comply with this requirement. </w:t>
      </w:r>
    </w:p>
    <w:p w14:paraId="43DB9743" w14:textId="77777777" w:rsidR="00655700" w:rsidRDefault="00655700" w:rsidP="00655700">
      <w:r>
        <w:t>T</w:t>
      </w:r>
      <w:r w:rsidRPr="0005195C">
        <w:t>he PSCC, continued to progress</w:t>
      </w:r>
      <w:r>
        <w:t xml:space="preserve"> work on</w:t>
      </w:r>
      <w:r w:rsidRPr="0005195C">
        <w:t xml:space="preserve"> a number of regulations including a possible services standard for the installation of curtain and blind cords, a possible mandatory standard (mandated warning labels) for children’s portable pools and a possible mandatory standard (mandated warning labels) for trampolines.</w:t>
      </w:r>
    </w:p>
    <w:p w14:paraId="43DB9744" w14:textId="77777777" w:rsidR="00655700" w:rsidRDefault="00655700" w:rsidP="00655700">
      <w:pPr>
        <w:sectPr w:rsidR="00655700" w:rsidSect="00833E4F">
          <w:pgSz w:w="11906" w:h="16838" w:code="9"/>
          <w:pgMar w:top="1418" w:right="1418" w:bottom="1418" w:left="1418" w:header="709" w:footer="709" w:gutter="0"/>
          <w:cols w:space="708"/>
          <w:docGrid w:linePitch="360"/>
        </w:sectPr>
      </w:pPr>
    </w:p>
    <w:p w14:paraId="43DB9745" w14:textId="77777777" w:rsidR="000B60C7" w:rsidRPr="00C613D0" w:rsidRDefault="000B60C7" w:rsidP="000B60C7">
      <w:pPr>
        <w:pStyle w:val="Heading1"/>
      </w:pPr>
      <w:bookmarkStart w:id="109" w:name="_Toc342299542"/>
      <w:bookmarkStart w:id="110" w:name="_Toc342381504"/>
      <w:r>
        <w:lastRenderedPageBreak/>
        <w:t xml:space="preserve">Appendix 1 — </w:t>
      </w:r>
      <w:r w:rsidRPr="00C613D0">
        <w:t>Australia’s consumer policy framework</w:t>
      </w:r>
      <w:bookmarkEnd w:id="109"/>
      <w:bookmarkEnd w:id="110"/>
    </w:p>
    <w:tbl>
      <w:tblPr>
        <w:tblW w:w="9072" w:type="dxa"/>
        <w:tblInd w:w="108" w:type="dxa"/>
        <w:tblLook w:val="00A0" w:firstRow="1" w:lastRow="0" w:firstColumn="1" w:lastColumn="0" w:noHBand="0" w:noVBand="0"/>
      </w:tblPr>
      <w:tblGrid>
        <w:gridCol w:w="9072"/>
      </w:tblGrid>
      <w:tr w:rsidR="000B60C7" w14:paraId="43DB9748" w14:textId="77777777" w:rsidTr="00E72E98">
        <w:tc>
          <w:tcPr>
            <w:tcW w:w="9178" w:type="dxa"/>
            <w:shd w:val="clear" w:color="auto" w:fill="E6E6E6"/>
          </w:tcPr>
          <w:p w14:paraId="43DB9746" w14:textId="77777777" w:rsidR="000B60C7" w:rsidRPr="00C613D0" w:rsidRDefault="000B60C7" w:rsidP="00302A2E">
            <w:pPr>
              <w:pStyle w:val="BoxHeading"/>
            </w:pPr>
            <w:bookmarkStart w:id="111" w:name="_Toc342299543"/>
            <w:r w:rsidRPr="00C613D0">
              <w:t>Summary</w:t>
            </w:r>
            <w:bookmarkEnd w:id="111"/>
          </w:p>
          <w:p w14:paraId="43DB9747" w14:textId="77777777" w:rsidR="000B60C7" w:rsidRPr="00C613D0" w:rsidRDefault="000B60C7" w:rsidP="00302A2E">
            <w:pPr>
              <w:pStyle w:val="BoxText"/>
            </w:pPr>
            <w:r w:rsidRPr="00C613D0">
              <w:t>To support the ACL, Australia’s governments and consumer agencies have made formal agreements and administrative arrangements to provide for a cooperative and coordinated approach to the enforcement and policy development of the ACL.</w:t>
            </w:r>
          </w:p>
        </w:tc>
      </w:tr>
    </w:tbl>
    <w:p w14:paraId="43DB9749" w14:textId="77777777" w:rsidR="000B60C7" w:rsidRPr="00C613D0" w:rsidRDefault="000B60C7" w:rsidP="000B60C7">
      <w:pPr>
        <w:pStyle w:val="Heading2"/>
      </w:pPr>
      <w:bookmarkStart w:id="112" w:name="_Toc342299544"/>
      <w:bookmarkStart w:id="113" w:name="_Toc342381505"/>
      <w:r w:rsidRPr="00C613D0">
        <w:t>The National Consumer Policy Objective</w:t>
      </w:r>
      <w:bookmarkEnd w:id="112"/>
      <w:bookmarkEnd w:id="113"/>
    </w:p>
    <w:p w14:paraId="43DB974A" w14:textId="77777777" w:rsidR="000B60C7" w:rsidRPr="0024783B" w:rsidRDefault="000B60C7" w:rsidP="000B60C7">
      <w:r w:rsidRPr="0024783B">
        <w:t xml:space="preserve">Australia’s consumer policy framework is informed by the </w:t>
      </w:r>
      <w:r w:rsidRPr="0024783B">
        <w:rPr>
          <w:i/>
        </w:rPr>
        <w:t>National Consumer Policy Objective</w:t>
      </w:r>
      <w:r w:rsidRPr="0024783B">
        <w:t>, which was agreed by MCCA</w:t>
      </w:r>
      <w:r w:rsidRPr="0024783B">
        <w:rPr>
          <w:rStyle w:val="FootnoteReference"/>
        </w:rPr>
        <w:footnoteReference w:id="3"/>
      </w:r>
      <w:r w:rsidRPr="0024783B">
        <w:t xml:space="preserve"> on 3 December 2009. The National Consumer Policy Objective is:</w:t>
      </w:r>
    </w:p>
    <w:p w14:paraId="43DB974B" w14:textId="77777777" w:rsidR="000B60C7" w:rsidRPr="0024783B" w:rsidRDefault="000B60C7" w:rsidP="000B60C7">
      <w:pPr>
        <w:pStyle w:val="Quote"/>
      </w:pPr>
      <w:r w:rsidRPr="0024783B">
        <w:t>[t]o improve consumer wellbeing through consumer empowerment and protection, fostering effective competition and enabling confident participation of consumers in markets in which both consumers and suppliers trade fairly.</w:t>
      </w:r>
      <w:r w:rsidRPr="0024783B">
        <w:rPr>
          <w:rStyle w:val="FootnoteReference"/>
        </w:rPr>
        <w:footnoteReference w:id="4"/>
      </w:r>
    </w:p>
    <w:p w14:paraId="43DB974C" w14:textId="77777777" w:rsidR="000B60C7" w:rsidRPr="00C613D0" w:rsidRDefault="000B60C7" w:rsidP="000B60C7">
      <w:r w:rsidRPr="00C613D0">
        <w:t>The Objective is supported by six operational objectives</w:t>
      </w:r>
      <w:r w:rsidR="00215CCC">
        <w:t xml:space="preserve"> (see Figure </w:t>
      </w:r>
      <w:r w:rsidR="00581F90">
        <w:t>2</w:t>
      </w:r>
      <w:r w:rsidR="008D5EF0">
        <w:t xml:space="preserve"> for the implementation of these objectives by CAANZ committees</w:t>
      </w:r>
      <w:r w:rsidR="00215CCC">
        <w:t>)</w:t>
      </w:r>
      <w:r w:rsidRPr="00C613D0">
        <w:t>:</w:t>
      </w:r>
    </w:p>
    <w:p w14:paraId="43DB974D" w14:textId="7E63B1C0" w:rsidR="000B60C7" w:rsidRPr="00C613D0" w:rsidRDefault="000B60C7" w:rsidP="000B60C7">
      <w:pPr>
        <w:pStyle w:val="Bullet"/>
      </w:pPr>
      <w:r w:rsidRPr="00C613D0">
        <w:t>to ensure that consumers are sufficiently well</w:t>
      </w:r>
      <w:r w:rsidR="00433B24">
        <w:noBreakHyphen/>
      </w:r>
      <w:r w:rsidRPr="00C613D0">
        <w:t>informed to benefit from and stimulate effective competition;</w:t>
      </w:r>
    </w:p>
    <w:p w14:paraId="43DB974E" w14:textId="77777777" w:rsidR="000B60C7" w:rsidRPr="00C613D0" w:rsidRDefault="000B60C7" w:rsidP="000B60C7">
      <w:pPr>
        <w:pStyle w:val="Bullet"/>
      </w:pPr>
      <w:r w:rsidRPr="00C613D0">
        <w:t>to ensure that goods and services are safe and fit for the purposes for which they were sold;</w:t>
      </w:r>
    </w:p>
    <w:p w14:paraId="43DB974F" w14:textId="77777777" w:rsidR="000B60C7" w:rsidRPr="00C613D0" w:rsidRDefault="000B60C7" w:rsidP="000B60C7">
      <w:pPr>
        <w:pStyle w:val="Bullet"/>
      </w:pPr>
      <w:r w:rsidRPr="00C613D0">
        <w:t>to prevent practices that are unfair;</w:t>
      </w:r>
    </w:p>
    <w:p w14:paraId="43DB9750" w14:textId="77777777" w:rsidR="000B60C7" w:rsidRPr="00C613D0" w:rsidRDefault="000B60C7" w:rsidP="000B60C7">
      <w:pPr>
        <w:pStyle w:val="Bullet"/>
      </w:pPr>
      <w:r w:rsidRPr="00C613D0">
        <w:t>to meet the needs of those consumers who are most vulnerable or are at the greatest disadvantage;</w:t>
      </w:r>
    </w:p>
    <w:p w14:paraId="43DB9751" w14:textId="77777777" w:rsidR="000B60C7" w:rsidRPr="00C613D0" w:rsidRDefault="000B60C7" w:rsidP="000B60C7">
      <w:pPr>
        <w:pStyle w:val="Bullet"/>
      </w:pPr>
      <w:r w:rsidRPr="00C613D0">
        <w:t>to provide accessible and timely redress where consumer detriment has occurred; and</w:t>
      </w:r>
    </w:p>
    <w:p w14:paraId="43DB9752" w14:textId="10E27426" w:rsidR="000B60C7" w:rsidRPr="00C613D0" w:rsidRDefault="000B60C7" w:rsidP="000B60C7">
      <w:pPr>
        <w:pStyle w:val="Bullet"/>
      </w:pPr>
      <w:r w:rsidRPr="00C613D0">
        <w:t>to promote proportionate, risk</w:t>
      </w:r>
      <w:r w:rsidR="00433B24">
        <w:noBreakHyphen/>
      </w:r>
      <w:r w:rsidRPr="00C613D0">
        <w:t>based enforcement.</w:t>
      </w:r>
    </w:p>
    <w:p w14:paraId="43DB9753" w14:textId="77777777" w:rsidR="001302B6" w:rsidRDefault="001302B6">
      <w:pPr>
        <w:spacing w:after="0" w:line="240" w:lineRule="auto"/>
        <w:rPr>
          <w:highlight w:val="yellow"/>
        </w:rPr>
      </w:pPr>
      <w:r>
        <w:rPr>
          <w:highlight w:val="yellow"/>
        </w:rPr>
        <w:br w:type="page"/>
      </w:r>
    </w:p>
    <w:p w14:paraId="43DB9754" w14:textId="06BEAAE3" w:rsidR="001302B6" w:rsidRDefault="006D7BF4" w:rsidP="001302B6">
      <w:pPr>
        <w:pStyle w:val="Heading3"/>
      </w:pPr>
      <w:bookmarkStart w:id="114" w:name="_Toc342299545"/>
      <w:bookmarkStart w:id="115" w:name="_Toc342381506"/>
      <w:r>
        <w:lastRenderedPageBreak/>
        <w:t xml:space="preserve">Figure </w:t>
      </w:r>
      <w:r w:rsidR="00581F90">
        <w:t>2</w:t>
      </w:r>
      <w:r w:rsidR="00215CCC">
        <w:t xml:space="preserve">: </w:t>
      </w:r>
      <w:r w:rsidR="001302B6">
        <w:t>Alignment of operational objectives</w:t>
      </w:r>
      <w:r w:rsidR="00226525">
        <w:t xml:space="preserve"> with CAANZ committees</w:t>
      </w:r>
      <w:bookmarkEnd w:id="114"/>
      <w:bookmarkEnd w:id="115"/>
    </w:p>
    <w:tbl>
      <w:tblPr>
        <w:tblStyle w:val="LightShading-Accent3"/>
        <w:tblW w:w="5000" w:type="pct"/>
        <w:tblLook w:val="04A0" w:firstRow="1" w:lastRow="0" w:firstColumn="1" w:lastColumn="0" w:noHBand="0" w:noVBand="1"/>
      </w:tblPr>
      <w:tblGrid>
        <w:gridCol w:w="2565"/>
        <w:gridCol w:w="1898"/>
        <w:gridCol w:w="2349"/>
        <w:gridCol w:w="2474"/>
      </w:tblGrid>
      <w:tr w:rsidR="001302B6" w14:paraId="43DB9759" w14:textId="77777777" w:rsidTr="00207C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pct"/>
          </w:tcPr>
          <w:p w14:paraId="43DB9755" w14:textId="77777777" w:rsidR="001302B6" w:rsidRPr="00302A2E" w:rsidRDefault="001302B6" w:rsidP="00302A2E">
            <w:r w:rsidRPr="00302A2E">
              <w:t>National operational objective</w:t>
            </w:r>
          </w:p>
        </w:tc>
        <w:tc>
          <w:tcPr>
            <w:tcW w:w="1022" w:type="pct"/>
          </w:tcPr>
          <w:p w14:paraId="43DB9756" w14:textId="77777777" w:rsidR="001302B6" w:rsidRPr="00302A2E" w:rsidRDefault="001302B6" w:rsidP="00302A2E">
            <w:pPr>
              <w:cnfStyle w:val="100000000000" w:firstRow="1" w:lastRow="0" w:firstColumn="0" w:lastColumn="0" w:oddVBand="0" w:evenVBand="0" w:oddHBand="0" w:evenHBand="0" w:firstRowFirstColumn="0" w:firstRowLastColumn="0" w:lastRowFirstColumn="0" w:lastRowLastColumn="0"/>
            </w:pPr>
            <w:r w:rsidRPr="00302A2E">
              <w:t>PSCC</w:t>
            </w:r>
          </w:p>
        </w:tc>
        <w:tc>
          <w:tcPr>
            <w:tcW w:w="1265" w:type="pct"/>
          </w:tcPr>
          <w:p w14:paraId="43DB9757" w14:textId="77777777" w:rsidR="001302B6" w:rsidRPr="00302A2E" w:rsidRDefault="001302B6" w:rsidP="00302A2E">
            <w:pPr>
              <w:cnfStyle w:val="100000000000" w:firstRow="1" w:lastRow="0" w:firstColumn="0" w:lastColumn="0" w:oddVBand="0" w:evenVBand="0" w:oddHBand="0" w:evenHBand="0" w:firstRowFirstColumn="0" w:firstRowLastColumn="0" w:lastRowFirstColumn="0" w:lastRowLastColumn="0"/>
            </w:pPr>
            <w:r w:rsidRPr="00302A2E">
              <w:t>EIAC</w:t>
            </w:r>
          </w:p>
        </w:tc>
        <w:tc>
          <w:tcPr>
            <w:tcW w:w="1332" w:type="pct"/>
          </w:tcPr>
          <w:p w14:paraId="43DB9758" w14:textId="77777777" w:rsidR="001302B6" w:rsidRPr="00302A2E" w:rsidRDefault="001302B6" w:rsidP="00302A2E">
            <w:pPr>
              <w:cnfStyle w:val="100000000000" w:firstRow="1" w:lastRow="0" w:firstColumn="0" w:lastColumn="0" w:oddVBand="0" w:evenVBand="0" w:oddHBand="0" w:evenHBand="0" w:firstRowFirstColumn="0" w:firstRowLastColumn="0" w:lastRowFirstColumn="0" w:lastRowLastColumn="0"/>
            </w:pPr>
            <w:r w:rsidRPr="00302A2E">
              <w:t>CDRAC</w:t>
            </w:r>
          </w:p>
        </w:tc>
      </w:tr>
      <w:tr w:rsidR="001302B6" w14:paraId="43DB975E" w14:textId="77777777" w:rsidTr="0020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pct"/>
          </w:tcPr>
          <w:p w14:paraId="43DB975A" w14:textId="77777777" w:rsidR="001302B6" w:rsidRDefault="001302B6" w:rsidP="00207C01">
            <w:pPr>
              <w:pStyle w:val="Bullet"/>
              <w:numPr>
                <w:ilvl w:val="0"/>
                <w:numId w:val="0"/>
              </w:numPr>
            </w:pPr>
            <w:r>
              <w:t>…ensure well informed consumers…</w:t>
            </w:r>
          </w:p>
        </w:tc>
        <w:tc>
          <w:tcPr>
            <w:tcW w:w="1022" w:type="pct"/>
          </w:tcPr>
          <w:p w14:paraId="43DB975B" w14:textId="77777777" w:rsidR="001302B6" w:rsidRDefault="001302B6" w:rsidP="00207C01">
            <w:pPr>
              <w:cnfStyle w:val="000000100000" w:firstRow="0" w:lastRow="0" w:firstColumn="0" w:lastColumn="0" w:oddVBand="0" w:evenVBand="0" w:oddHBand="1" w:evenHBand="0" w:firstRowFirstColumn="0" w:firstRowLastColumn="0" w:lastRowFirstColumn="0" w:lastRowLastColumn="0"/>
            </w:pPr>
            <w:r>
              <w:t>Promoting product safety in the community</w:t>
            </w:r>
          </w:p>
        </w:tc>
        <w:tc>
          <w:tcPr>
            <w:tcW w:w="1265" w:type="pct"/>
          </w:tcPr>
          <w:p w14:paraId="43DB975C" w14:textId="77777777" w:rsidR="001302B6" w:rsidRDefault="001302B6" w:rsidP="00207C01">
            <w:pPr>
              <w:cnfStyle w:val="000000100000" w:firstRow="0" w:lastRow="0" w:firstColumn="0" w:lastColumn="0" w:oddVBand="0" w:evenVBand="0" w:oddHBand="1" w:evenHBand="0" w:firstRowFirstColumn="0" w:firstRowLastColumn="0" w:lastRowFirstColumn="0" w:lastRowLastColumn="0"/>
            </w:pPr>
            <w:r>
              <w:t>Improving consumer understanding of the ACL</w:t>
            </w:r>
          </w:p>
        </w:tc>
        <w:tc>
          <w:tcPr>
            <w:tcW w:w="1332" w:type="pct"/>
          </w:tcPr>
          <w:p w14:paraId="43DB975D" w14:textId="77777777" w:rsidR="001302B6" w:rsidRDefault="001302B6" w:rsidP="00207C01">
            <w:pPr>
              <w:cnfStyle w:val="000000100000" w:firstRow="0" w:lastRow="0" w:firstColumn="0" w:lastColumn="0" w:oddVBand="0" w:evenVBand="0" w:oddHBand="1" w:evenHBand="0" w:firstRowFirstColumn="0" w:firstRowLastColumn="0" w:lastRowFirstColumn="0" w:lastRowLastColumn="0"/>
            </w:pPr>
          </w:p>
        </w:tc>
      </w:tr>
      <w:tr w:rsidR="001302B6" w14:paraId="43DB9764" w14:textId="77777777" w:rsidTr="00207C01">
        <w:tc>
          <w:tcPr>
            <w:cnfStyle w:val="001000000000" w:firstRow="0" w:lastRow="0" w:firstColumn="1" w:lastColumn="0" w:oddVBand="0" w:evenVBand="0" w:oddHBand="0" w:evenHBand="0" w:firstRowFirstColumn="0" w:firstRowLastColumn="0" w:lastRowFirstColumn="0" w:lastRowLastColumn="0"/>
            <w:tcW w:w="1381" w:type="pct"/>
          </w:tcPr>
          <w:p w14:paraId="43DB975F" w14:textId="77777777" w:rsidR="001302B6" w:rsidRDefault="001302B6" w:rsidP="00207C01">
            <w:pPr>
              <w:pStyle w:val="Bullet"/>
              <w:numPr>
                <w:ilvl w:val="0"/>
                <w:numId w:val="0"/>
              </w:numPr>
              <w:rPr>
                <w:b w:val="0"/>
                <w:bCs w:val="0"/>
              </w:rPr>
            </w:pPr>
            <w:r>
              <w:t xml:space="preserve">…ensure </w:t>
            </w:r>
            <w:r w:rsidRPr="00C613D0">
              <w:t>that goods and services ar</w:t>
            </w:r>
            <w:r>
              <w:t>e safe…</w:t>
            </w:r>
          </w:p>
        </w:tc>
        <w:tc>
          <w:tcPr>
            <w:tcW w:w="1022" w:type="pct"/>
          </w:tcPr>
          <w:p w14:paraId="43DB9760" w14:textId="77777777" w:rsidR="001302B6" w:rsidRDefault="001302B6" w:rsidP="00207C01">
            <w:pPr>
              <w:cnfStyle w:val="000000000000" w:firstRow="0" w:lastRow="0" w:firstColumn="0" w:lastColumn="0" w:oddVBand="0" w:evenVBand="0" w:oddHBand="0" w:evenHBand="0" w:firstRowFirstColumn="0" w:firstRowLastColumn="0" w:lastRowFirstColumn="0" w:lastRowLastColumn="0"/>
            </w:pPr>
            <w:r>
              <w:t>Achieving compliance with Australia’s product safety system</w:t>
            </w:r>
          </w:p>
          <w:p w14:paraId="43DB9761" w14:textId="77777777" w:rsidR="001302B6" w:rsidRDefault="001302B6" w:rsidP="00207C01">
            <w:pPr>
              <w:cnfStyle w:val="000000000000" w:firstRow="0" w:lastRow="0" w:firstColumn="0" w:lastColumn="0" w:oddVBand="0" w:evenVBand="0" w:oddHBand="0" w:evenHBand="0" w:firstRowFirstColumn="0" w:firstRowLastColumn="0" w:lastRowFirstColumn="0" w:lastRowLastColumn="0"/>
            </w:pPr>
            <w:r>
              <w:t>Maintaining Australia’s product safety system</w:t>
            </w:r>
          </w:p>
        </w:tc>
        <w:tc>
          <w:tcPr>
            <w:tcW w:w="1265" w:type="pct"/>
          </w:tcPr>
          <w:p w14:paraId="43DB9762" w14:textId="77777777" w:rsidR="001302B6" w:rsidRDefault="001302B6" w:rsidP="00207C01">
            <w:pPr>
              <w:cnfStyle w:val="000000000000" w:firstRow="0" w:lastRow="0" w:firstColumn="0" w:lastColumn="0" w:oddVBand="0" w:evenVBand="0" w:oddHBand="0" w:evenHBand="0" w:firstRowFirstColumn="0" w:firstRowLastColumn="0" w:lastRowFirstColumn="0" w:lastRowLastColumn="0"/>
            </w:pPr>
          </w:p>
        </w:tc>
        <w:tc>
          <w:tcPr>
            <w:tcW w:w="1332" w:type="pct"/>
          </w:tcPr>
          <w:p w14:paraId="43DB9763" w14:textId="77777777" w:rsidR="001302B6" w:rsidRDefault="001302B6" w:rsidP="00207C01">
            <w:pPr>
              <w:cnfStyle w:val="000000000000" w:firstRow="0" w:lastRow="0" w:firstColumn="0" w:lastColumn="0" w:oddVBand="0" w:evenVBand="0" w:oddHBand="0" w:evenHBand="0" w:firstRowFirstColumn="0" w:firstRowLastColumn="0" w:lastRowFirstColumn="0" w:lastRowLastColumn="0"/>
            </w:pPr>
          </w:p>
        </w:tc>
      </w:tr>
      <w:tr w:rsidR="001302B6" w14:paraId="43DB976B" w14:textId="77777777" w:rsidTr="0020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pct"/>
          </w:tcPr>
          <w:p w14:paraId="43DB9765" w14:textId="77777777" w:rsidR="001302B6" w:rsidRDefault="001302B6" w:rsidP="00207C01">
            <w:pPr>
              <w:pStyle w:val="Bullet"/>
              <w:numPr>
                <w:ilvl w:val="0"/>
                <w:numId w:val="0"/>
              </w:numPr>
            </w:pPr>
            <w:r>
              <w:t>…</w:t>
            </w:r>
            <w:r w:rsidRPr="00C613D0">
              <w:t>prevent practices that are unfair</w:t>
            </w:r>
            <w:r>
              <w:t>…</w:t>
            </w:r>
          </w:p>
        </w:tc>
        <w:tc>
          <w:tcPr>
            <w:tcW w:w="1022" w:type="pct"/>
          </w:tcPr>
          <w:p w14:paraId="43DB9766" w14:textId="77777777" w:rsidR="001302B6" w:rsidRDefault="001302B6" w:rsidP="00207C01">
            <w:pPr>
              <w:cnfStyle w:val="000000100000" w:firstRow="0" w:lastRow="0" w:firstColumn="0" w:lastColumn="0" w:oddVBand="0" w:evenVBand="0" w:oddHBand="1" w:evenHBand="0" w:firstRowFirstColumn="0" w:firstRowLastColumn="0" w:lastRowFirstColumn="0" w:lastRowLastColumn="0"/>
            </w:pPr>
          </w:p>
        </w:tc>
        <w:tc>
          <w:tcPr>
            <w:tcW w:w="1265" w:type="pct"/>
          </w:tcPr>
          <w:p w14:paraId="43DB9767" w14:textId="77777777" w:rsidR="001302B6" w:rsidRDefault="001302B6" w:rsidP="00207C01">
            <w:pPr>
              <w:cnfStyle w:val="000000100000" w:firstRow="0" w:lastRow="0" w:firstColumn="0" w:lastColumn="0" w:oddVBand="0" w:evenVBand="0" w:oddHBand="1" w:evenHBand="0" w:firstRowFirstColumn="0" w:firstRowLastColumn="0" w:lastRowFirstColumn="0" w:lastRowLastColumn="0"/>
            </w:pPr>
            <w:r w:rsidRPr="0031535D">
              <w:rPr>
                <w:bCs/>
              </w:rPr>
              <w:t xml:space="preserve">Supporting and promoting compliance activities </w:t>
            </w:r>
          </w:p>
        </w:tc>
        <w:tc>
          <w:tcPr>
            <w:tcW w:w="1332" w:type="pct"/>
          </w:tcPr>
          <w:p w14:paraId="43DB9768" w14:textId="77777777" w:rsidR="001302B6" w:rsidRDefault="001302B6" w:rsidP="00207C01">
            <w:pPr>
              <w:cnfStyle w:val="000000100000" w:firstRow="0" w:lastRow="0" w:firstColumn="0" w:lastColumn="0" w:oddVBand="0" w:evenVBand="0" w:oddHBand="1" w:evenHBand="0" w:firstRowFirstColumn="0" w:firstRowLastColumn="0" w:lastRowFirstColumn="0" w:lastRowLastColumn="0"/>
            </w:pPr>
            <w:r>
              <w:t>Achieving compliance with the ACL</w:t>
            </w:r>
          </w:p>
          <w:p w14:paraId="43DB9769" w14:textId="77777777" w:rsidR="001302B6" w:rsidRDefault="001302B6" w:rsidP="00207C01">
            <w:pPr>
              <w:cnfStyle w:val="000000100000" w:firstRow="0" w:lastRow="0" w:firstColumn="0" w:lastColumn="0" w:oddVBand="0" w:evenVBand="0" w:oddHBand="1" w:evenHBand="0" w:firstRowFirstColumn="0" w:firstRowLastColumn="0" w:lastRowFirstColumn="0" w:lastRowLastColumn="0"/>
            </w:pPr>
            <w:r>
              <w:t>Combatting unlawful selling practices</w:t>
            </w:r>
          </w:p>
          <w:p w14:paraId="43DB976A" w14:textId="77777777" w:rsidR="001302B6" w:rsidRDefault="001302B6" w:rsidP="00207C01">
            <w:pPr>
              <w:cnfStyle w:val="000000100000" w:firstRow="0" w:lastRow="0" w:firstColumn="0" w:lastColumn="0" w:oddVBand="0" w:evenVBand="0" w:oddHBand="1" w:evenHBand="0" w:firstRowFirstColumn="0" w:firstRowLastColumn="0" w:lastRowFirstColumn="0" w:lastRowLastColumn="0"/>
            </w:pPr>
            <w:r>
              <w:t>Supporting business compliance with the ACL</w:t>
            </w:r>
          </w:p>
        </w:tc>
      </w:tr>
      <w:tr w:rsidR="001302B6" w14:paraId="43DB9770" w14:textId="77777777" w:rsidTr="00207C01">
        <w:tc>
          <w:tcPr>
            <w:cnfStyle w:val="001000000000" w:firstRow="0" w:lastRow="0" w:firstColumn="1" w:lastColumn="0" w:oddVBand="0" w:evenVBand="0" w:oddHBand="0" w:evenHBand="0" w:firstRowFirstColumn="0" w:firstRowLastColumn="0" w:lastRowFirstColumn="0" w:lastRowLastColumn="0"/>
            <w:tcW w:w="1381" w:type="pct"/>
          </w:tcPr>
          <w:p w14:paraId="43DB976C" w14:textId="77777777" w:rsidR="001302B6" w:rsidRDefault="001302B6" w:rsidP="00207C01">
            <w:pPr>
              <w:pStyle w:val="Bullet"/>
              <w:numPr>
                <w:ilvl w:val="0"/>
                <w:numId w:val="0"/>
              </w:numPr>
            </w:pPr>
            <w:r>
              <w:t>…meet the needs of vulnerable consumers…</w:t>
            </w:r>
          </w:p>
        </w:tc>
        <w:tc>
          <w:tcPr>
            <w:tcW w:w="1022" w:type="pct"/>
          </w:tcPr>
          <w:p w14:paraId="43DB976D" w14:textId="77777777" w:rsidR="001302B6" w:rsidRDefault="001302B6" w:rsidP="00207C01">
            <w:pPr>
              <w:cnfStyle w:val="000000000000" w:firstRow="0" w:lastRow="0" w:firstColumn="0" w:lastColumn="0" w:oddVBand="0" w:evenVBand="0" w:oddHBand="0" w:evenHBand="0" w:firstRowFirstColumn="0" w:firstRowLastColumn="0" w:lastRowFirstColumn="0" w:lastRowLastColumn="0"/>
            </w:pPr>
            <w:r>
              <w:t>Identifying and assessing emerging hazards</w:t>
            </w:r>
            <w:r w:rsidRPr="00F96F6E">
              <w:t> </w:t>
            </w:r>
          </w:p>
        </w:tc>
        <w:tc>
          <w:tcPr>
            <w:tcW w:w="1265" w:type="pct"/>
          </w:tcPr>
          <w:p w14:paraId="43DB976E" w14:textId="77777777" w:rsidR="001302B6" w:rsidRDefault="001302B6" w:rsidP="00207C01">
            <w:pPr>
              <w:cnfStyle w:val="000000000000" w:firstRow="0" w:lastRow="0" w:firstColumn="0" w:lastColumn="0" w:oddVBand="0" w:evenVBand="0" w:oddHBand="0" w:evenHBand="0" w:firstRowFirstColumn="0" w:firstRowLastColumn="0" w:lastRowFirstColumn="0" w:lastRowLastColumn="0"/>
            </w:pPr>
            <w:r>
              <w:t>Assisting consumers as they engage with the marketplace</w:t>
            </w:r>
          </w:p>
        </w:tc>
        <w:tc>
          <w:tcPr>
            <w:tcW w:w="1332" w:type="pct"/>
          </w:tcPr>
          <w:p w14:paraId="43DB976F" w14:textId="77777777" w:rsidR="001302B6" w:rsidRDefault="001302B6" w:rsidP="00207C01">
            <w:pPr>
              <w:cnfStyle w:val="000000000000" w:firstRow="0" w:lastRow="0" w:firstColumn="0" w:lastColumn="0" w:oddVBand="0" w:evenVBand="0" w:oddHBand="0" w:evenHBand="0" w:firstRowFirstColumn="0" w:firstRowLastColumn="0" w:lastRowFirstColumn="0" w:lastRowLastColumn="0"/>
            </w:pPr>
            <w:r>
              <w:t>Responding to unfair trader practices</w:t>
            </w:r>
          </w:p>
        </w:tc>
      </w:tr>
      <w:tr w:rsidR="001302B6" w14:paraId="43DB9775" w14:textId="77777777" w:rsidTr="0020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pct"/>
          </w:tcPr>
          <w:p w14:paraId="43DB9771" w14:textId="77777777" w:rsidR="001302B6" w:rsidRDefault="001302B6" w:rsidP="00207C01">
            <w:pPr>
              <w:pStyle w:val="Bullet"/>
              <w:numPr>
                <w:ilvl w:val="0"/>
                <w:numId w:val="0"/>
              </w:numPr>
            </w:pPr>
            <w:r>
              <w:t>..</w:t>
            </w:r>
            <w:r w:rsidRPr="00C613D0">
              <w:t>provid</w:t>
            </w:r>
            <w:r>
              <w:t>e accessible and timely redress…</w:t>
            </w:r>
          </w:p>
        </w:tc>
        <w:tc>
          <w:tcPr>
            <w:tcW w:w="1022" w:type="pct"/>
          </w:tcPr>
          <w:p w14:paraId="43DB9772" w14:textId="77777777" w:rsidR="001302B6" w:rsidRDefault="001302B6" w:rsidP="00207C01">
            <w:pPr>
              <w:cnfStyle w:val="000000100000" w:firstRow="0" w:lastRow="0" w:firstColumn="0" w:lastColumn="0" w:oddVBand="0" w:evenVBand="0" w:oddHBand="1" w:evenHBand="0" w:firstRowFirstColumn="0" w:firstRowLastColumn="0" w:lastRowFirstColumn="0" w:lastRowLastColumn="0"/>
            </w:pPr>
          </w:p>
        </w:tc>
        <w:tc>
          <w:tcPr>
            <w:tcW w:w="1265" w:type="pct"/>
          </w:tcPr>
          <w:p w14:paraId="43DB9773" w14:textId="77777777" w:rsidR="001302B6" w:rsidRDefault="001302B6" w:rsidP="00207C01">
            <w:pPr>
              <w:cnfStyle w:val="000000100000" w:firstRow="0" w:lastRow="0" w:firstColumn="0" w:lastColumn="0" w:oddVBand="0" w:evenVBand="0" w:oddHBand="1" w:evenHBand="0" w:firstRowFirstColumn="0" w:firstRowLastColumn="0" w:lastRowFirstColumn="0" w:lastRowLastColumn="0"/>
            </w:pPr>
          </w:p>
        </w:tc>
        <w:tc>
          <w:tcPr>
            <w:tcW w:w="1332" w:type="pct"/>
          </w:tcPr>
          <w:p w14:paraId="43DB9774" w14:textId="77777777" w:rsidR="001302B6" w:rsidRDefault="001302B6" w:rsidP="00207C01">
            <w:pPr>
              <w:cnfStyle w:val="000000100000" w:firstRow="0" w:lastRow="0" w:firstColumn="0" w:lastColumn="0" w:oddVBand="0" w:evenVBand="0" w:oddHBand="1" w:evenHBand="0" w:firstRowFirstColumn="0" w:firstRowLastColumn="0" w:lastRowFirstColumn="0" w:lastRowLastColumn="0"/>
            </w:pPr>
            <w:r>
              <w:t>Providing timely support for consumers</w:t>
            </w:r>
          </w:p>
        </w:tc>
      </w:tr>
      <w:tr w:rsidR="001302B6" w14:paraId="43DB977A" w14:textId="77777777" w:rsidTr="00207C01">
        <w:tc>
          <w:tcPr>
            <w:cnfStyle w:val="001000000000" w:firstRow="0" w:lastRow="0" w:firstColumn="1" w:lastColumn="0" w:oddVBand="0" w:evenVBand="0" w:oddHBand="0" w:evenHBand="0" w:firstRowFirstColumn="0" w:firstRowLastColumn="0" w:lastRowFirstColumn="0" w:lastRowLastColumn="0"/>
            <w:tcW w:w="1381" w:type="pct"/>
          </w:tcPr>
          <w:p w14:paraId="43DB9776" w14:textId="2CBED818" w:rsidR="001302B6" w:rsidRDefault="001302B6" w:rsidP="00207C01">
            <w:pPr>
              <w:pStyle w:val="Bullet"/>
              <w:numPr>
                <w:ilvl w:val="0"/>
                <w:numId w:val="0"/>
              </w:numPr>
            </w:pPr>
            <w:r>
              <w:t>…</w:t>
            </w:r>
            <w:r w:rsidRPr="00C613D0">
              <w:t>promote proportionate, risk</w:t>
            </w:r>
            <w:r w:rsidR="00433B24">
              <w:noBreakHyphen/>
            </w:r>
            <w:r w:rsidRPr="00C613D0">
              <w:t>based enforcement</w:t>
            </w:r>
            <w:r>
              <w:t>…</w:t>
            </w:r>
          </w:p>
        </w:tc>
        <w:tc>
          <w:tcPr>
            <w:tcW w:w="1022" w:type="pct"/>
          </w:tcPr>
          <w:p w14:paraId="43DB9777" w14:textId="77777777" w:rsidR="001302B6" w:rsidRDefault="001302B6" w:rsidP="00207C01">
            <w:pPr>
              <w:pStyle w:val="Heading3"/>
              <w:outlineLvl w:val="2"/>
              <w:cnfStyle w:val="000000000000" w:firstRow="0" w:lastRow="0" w:firstColumn="0" w:lastColumn="0" w:oddVBand="0" w:evenVBand="0" w:oddHBand="0" w:evenHBand="0" w:firstRowFirstColumn="0" w:firstRowLastColumn="0" w:lastRowFirstColumn="0" w:lastRowLastColumn="0"/>
            </w:pPr>
          </w:p>
        </w:tc>
        <w:tc>
          <w:tcPr>
            <w:tcW w:w="1265" w:type="pct"/>
          </w:tcPr>
          <w:p w14:paraId="43DB9778" w14:textId="77777777" w:rsidR="001302B6" w:rsidRDefault="001302B6" w:rsidP="00207C01">
            <w:pPr>
              <w:cnfStyle w:val="000000000000" w:firstRow="0" w:lastRow="0" w:firstColumn="0" w:lastColumn="0" w:oddVBand="0" w:evenVBand="0" w:oddHBand="0" w:evenHBand="0" w:firstRowFirstColumn="0" w:firstRowLastColumn="0" w:lastRowFirstColumn="0" w:lastRowLastColumn="0"/>
            </w:pPr>
          </w:p>
        </w:tc>
        <w:tc>
          <w:tcPr>
            <w:tcW w:w="1332" w:type="pct"/>
          </w:tcPr>
          <w:p w14:paraId="43DB9779" w14:textId="77777777" w:rsidR="001302B6" w:rsidRDefault="001302B6" w:rsidP="00207C01">
            <w:pPr>
              <w:cnfStyle w:val="000000000000" w:firstRow="0" w:lastRow="0" w:firstColumn="0" w:lastColumn="0" w:oddVBand="0" w:evenVBand="0" w:oddHBand="0" w:evenHBand="0" w:firstRowFirstColumn="0" w:firstRowLastColumn="0" w:lastRowFirstColumn="0" w:lastRowLastColumn="0"/>
            </w:pPr>
            <w:r>
              <w:t>Identifying and responding to emerging consumer issues</w:t>
            </w:r>
          </w:p>
        </w:tc>
      </w:tr>
    </w:tbl>
    <w:p w14:paraId="43DB977B" w14:textId="77777777" w:rsidR="001302B6" w:rsidRDefault="001302B6" w:rsidP="001302B6"/>
    <w:p w14:paraId="43DB977C" w14:textId="77777777" w:rsidR="001302B6" w:rsidRDefault="001302B6" w:rsidP="001302B6"/>
    <w:p w14:paraId="43DB977D" w14:textId="77777777" w:rsidR="000B60C7" w:rsidRDefault="000B60C7" w:rsidP="000B60C7">
      <w:pPr>
        <w:spacing w:after="200" w:line="276" w:lineRule="auto"/>
        <w:rPr>
          <w:rFonts w:ascii="Arial" w:hAnsi="Arial" w:cs="Arial"/>
          <w:b/>
          <w:bCs/>
          <w:color w:val="00673A"/>
          <w:sz w:val="26"/>
          <w:szCs w:val="26"/>
          <w:highlight w:val="yellow"/>
        </w:rPr>
      </w:pPr>
      <w:r>
        <w:rPr>
          <w:highlight w:val="yellow"/>
        </w:rPr>
        <w:br w:type="page"/>
      </w:r>
    </w:p>
    <w:p w14:paraId="43DB977E" w14:textId="77777777" w:rsidR="000B60C7" w:rsidRPr="00C613D0" w:rsidRDefault="000022DC" w:rsidP="001E3F05">
      <w:pPr>
        <w:pStyle w:val="Heading2"/>
      </w:pPr>
      <w:bookmarkStart w:id="116" w:name="_Toc342299546"/>
      <w:bookmarkStart w:id="117" w:name="_Toc342381507"/>
      <w:r>
        <w:lastRenderedPageBreak/>
        <w:t>Interg</w:t>
      </w:r>
      <w:r w:rsidR="000B60C7" w:rsidRPr="00C613D0">
        <w:t>overnmental Agreement for the Australian Consumer Law</w:t>
      </w:r>
      <w:bookmarkEnd w:id="116"/>
      <w:bookmarkEnd w:id="117"/>
    </w:p>
    <w:p w14:paraId="43DB977F" w14:textId="77777777" w:rsidR="000B60C7" w:rsidRDefault="000B60C7" w:rsidP="000B60C7">
      <w:r>
        <w:t xml:space="preserve">The development and administration of the ACL, is governed by the </w:t>
      </w:r>
      <w:r w:rsidR="000022DC">
        <w:rPr>
          <w:i/>
          <w:iCs/>
        </w:rPr>
        <w:t>Interg</w:t>
      </w:r>
      <w:r>
        <w:rPr>
          <w:i/>
          <w:iCs/>
        </w:rPr>
        <w:t xml:space="preserve">overnmental Agreement for the Australian Consumer Law </w:t>
      </w:r>
      <w:r>
        <w:t>(IGA), which was signed by COAG on 2 July 2009. The IGA provides for the operation of the ACL through:</w:t>
      </w:r>
    </w:p>
    <w:p w14:paraId="43DB9780" w14:textId="77777777" w:rsidR="000B60C7" w:rsidRPr="00C613D0" w:rsidRDefault="000B60C7" w:rsidP="000B60C7">
      <w:pPr>
        <w:pStyle w:val="Bullet"/>
      </w:pPr>
      <w:r w:rsidRPr="00C613D0">
        <w:t xml:space="preserve">arrangements for the implementation and future amendment of the ACL; and </w:t>
      </w:r>
    </w:p>
    <w:p w14:paraId="43DB9781" w14:textId="77777777" w:rsidR="000B60C7" w:rsidRPr="00C613D0" w:rsidRDefault="000B60C7" w:rsidP="000B60C7">
      <w:pPr>
        <w:pStyle w:val="Bullet"/>
      </w:pPr>
      <w:r w:rsidRPr="00C613D0">
        <w:t xml:space="preserve">arrangements for the administration and enforcement of the ACL. </w:t>
      </w:r>
    </w:p>
    <w:p w14:paraId="43DB9782" w14:textId="77777777" w:rsidR="000B60C7" w:rsidRDefault="000B60C7" w:rsidP="00302A2E">
      <w:r>
        <w:t>The ACL was implemented through the following Commonwealth legislation, which commenced on 1 January 2011:</w:t>
      </w:r>
    </w:p>
    <w:p w14:paraId="43DB9783" w14:textId="77777777" w:rsidR="000B60C7" w:rsidRDefault="000B60C7" w:rsidP="000B60C7">
      <w:pPr>
        <w:pStyle w:val="Bullet"/>
      </w:pPr>
      <w:r w:rsidRPr="004B7BB8">
        <w:rPr>
          <w:i/>
        </w:rPr>
        <w:t>Trade Practices Amendment (Australian Consumer Law) Act (No.1) 2010</w:t>
      </w:r>
      <w:r>
        <w:rPr>
          <w:i/>
        </w:rPr>
        <w:t>;</w:t>
      </w:r>
    </w:p>
    <w:p w14:paraId="43DB9784" w14:textId="77777777" w:rsidR="000B60C7" w:rsidRDefault="000B60C7" w:rsidP="000B60C7">
      <w:pPr>
        <w:pStyle w:val="Bullet"/>
      </w:pPr>
      <w:r w:rsidRPr="004B7BB8">
        <w:rPr>
          <w:i/>
        </w:rPr>
        <w:t>Trade Practices Amendment (Australian Consumer Law) Act (No.2) 2010</w:t>
      </w:r>
      <w:r>
        <w:rPr>
          <w:i/>
        </w:rPr>
        <w:t xml:space="preserve">; </w:t>
      </w:r>
      <w:r w:rsidRPr="00C127CC">
        <w:t>and</w:t>
      </w:r>
    </w:p>
    <w:p w14:paraId="43DB9785" w14:textId="77777777" w:rsidR="000B60C7" w:rsidRDefault="000B60C7" w:rsidP="000B60C7">
      <w:pPr>
        <w:pStyle w:val="Bullet"/>
      </w:pPr>
      <w:r w:rsidRPr="004B7BB8">
        <w:rPr>
          <w:i/>
        </w:rPr>
        <w:t>Trade Practices Amendment (Australian Consumer Law) Regulations 2010</w:t>
      </w:r>
      <w:r>
        <w:t>.</w:t>
      </w:r>
    </w:p>
    <w:p w14:paraId="43DB9786" w14:textId="77777777" w:rsidR="000B60C7" w:rsidRDefault="000B60C7" w:rsidP="00302A2E">
      <w:r>
        <w:t xml:space="preserve">The ACL was then applied by each </w:t>
      </w:r>
      <w:r w:rsidR="00C504F5">
        <w:t>s</w:t>
      </w:r>
      <w:r>
        <w:t xml:space="preserve">tate and </w:t>
      </w:r>
      <w:r w:rsidR="00C504F5">
        <w:t>t</w:t>
      </w:r>
      <w:r>
        <w:t>erritory through their own Acts, namely:</w:t>
      </w:r>
    </w:p>
    <w:p w14:paraId="43DB9787" w14:textId="77777777" w:rsidR="000B60C7" w:rsidRPr="00A30775" w:rsidRDefault="000B60C7" w:rsidP="000B60C7">
      <w:pPr>
        <w:pStyle w:val="Bullet"/>
      </w:pPr>
      <w:r>
        <w:t xml:space="preserve">the </w:t>
      </w:r>
      <w:r w:rsidRPr="00C127CC">
        <w:rPr>
          <w:i/>
        </w:rPr>
        <w:t>Fair Trading (Australian Consumer Law) Amendment Act 2010</w:t>
      </w:r>
      <w:r>
        <w:t xml:space="preserve"> (ACT)</w:t>
      </w:r>
      <w:r w:rsidRPr="00A30775">
        <w:t>;</w:t>
      </w:r>
    </w:p>
    <w:p w14:paraId="43DB9788" w14:textId="77777777" w:rsidR="000B60C7" w:rsidRPr="00A30775" w:rsidRDefault="000B60C7" w:rsidP="000B60C7">
      <w:pPr>
        <w:pStyle w:val="Bullet"/>
      </w:pPr>
      <w:r>
        <w:t xml:space="preserve">the </w:t>
      </w:r>
      <w:r w:rsidRPr="00C127CC">
        <w:rPr>
          <w:i/>
        </w:rPr>
        <w:t>Fair Trading Amendment (Australian Consumer Law) Act 2010</w:t>
      </w:r>
      <w:r>
        <w:t xml:space="preserve"> (NSW)</w:t>
      </w:r>
      <w:r w:rsidRPr="00A30775">
        <w:t>;</w:t>
      </w:r>
    </w:p>
    <w:p w14:paraId="43DB9789" w14:textId="77777777" w:rsidR="000B60C7" w:rsidRPr="00A30775" w:rsidRDefault="000B60C7" w:rsidP="000B60C7">
      <w:pPr>
        <w:pStyle w:val="Bullet"/>
      </w:pPr>
      <w:r>
        <w:t xml:space="preserve">the </w:t>
      </w:r>
      <w:r w:rsidRPr="00C127CC">
        <w:rPr>
          <w:i/>
        </w:rPr>
        <w:t>Consumer Affairs and Fair Trading Amendment (National Uniform Legislation) Act 2010</w:t>
      </w:r>
      <w:r>
        <w:t xml:space="preserve"> (NT)</w:t>
      </w:r>
      <w:r w:rsidRPr="00A30775">
        <w:t>;</w:t>
      </w:r>
    </w:p>
    <w:p w14:paraId="43DB978A" w14:textId="77777777" w:rsidR="000B60C7" w:rsidRPr="00A30775" w:rsidRDefault="000B60C7" w:rsidP="000B60C7">
      <w:pPr>
        <w:pStyle w:val="Bullet"/>
      </w:pPr>
      <w:r>
        <w:t xml:space="preserve">the </w:t>
      </w:r>
      <w:r w:rsidRPr="00C127CC">
        <w:rPr>
          <w:i/>
        </w:rPr>
        <w:t>Fair Trading (Australian Consumer Law) Amendment Act 2010</w:t>
      </w:r>
      <w:r>
        <w:t xml:space="preserve"> (Queensland)</w:t>
      </w:r>
      <w:r w:rsidRPr="00A30775">
        <w:t>;</w:t>
      </w:r>
    </w:p>
    <w:p w14:paraId="43DB978B" w14:textId="77777777" w:rsidR="000B60C7" w:rsidRPr="00A30775" w:rsidRDefault="000B60C7" w:rsidP="000B60C7">
      <w:pPr>
        <w:pStyle w:val="Bullet"/>
      </w:pPr>
      <w:r>
        <w:t xml:space="preserve">the </w:t>
      </w:r>
      <w:r w:rsidRPr="00C127CC">
        <w:rPr>
          <w:i/>
        </w:rPr>
        <w:t xml:space="preserve">Statutes Amendment and Repeal (Australian Consumer Law) Act 2010 </w:t>
      </w:r>
      <w:r>
        <w:t>(SA);</w:t>
      </w:r>
      <w:r w:rsidRPr="00A30775">
        <w:t xml:space="preserve"> </w:t>
      </w:r>
    </w:p>
    <w:p w14:paraId="43DB978C" w14:textId="77777777" w:rsidR="000B60C7" w:rsidRPr="00A30775" w:rsidRDefault="000B60C7" w:rsidP="000B60C7">
      <w:pPr>
        <w:pStyle w:val="Bullet"/>
      </w:pPr>
      <w:r>
        <w:t xml:space="preserve">the </w:t>
      </w:r>
      <w:r w:rsidRPr="00C127CC">
        <w:rPr>
          <w:i/>
        </w:rPr>
        <w:t>Australian Consumer Law (Tasmania) Act 2010 and Australian Consumer Law (Tasmania) (Consequential Amendments) Act 2010</w:t>
      </w:r>
      <w:r>
        <w:t xml:space="preserve"> (Tasmania)</w:t>
      </w:r>
      <w:r w:rsidRPr="00A30775">
        <w:t>;</w:t>
      </w:r>
    </w:p>
    <w:p w14:paraId="43DB978D" w14:textId="77777777" w:rsidR="000B60C7" w:rsidRPr="00A30775" w:rsidRDefault="000B60C7" w:rsidP="000B60C7">
      <w:pPr>
        <w:pStyle w:val="Bullet"/>
      </w:pPr>
      <w:r>
        <w:t xml:space="preserve">the </w:t>
      </w:r>
      <w:r w:rsidRPr="00C127CC">
        <w:rPr>
          <w:i/>
        </w:rPr>
        <w:t>Fair Trading Amendment (Australian Consumer Law) Act 2010</w:t>
      </w:r>
      <w:r>
        <w:t xml:space="preserve"> (Victoria)</w:t>
      </w:r>
      <w:r w:rsidRPr="00A30775">
        <w:t>; and</w:t>
      </w:r>
    </w:p>
    <w:p w14:paraId="43DB978E" w14:textId="77777777" w:rsidR="000B60C7" w:rsidRPr="00A30775" w:rsidRDefault="000B60C7" w:rsidP="000B60C7">
      <w:pPr>
        <w:pStyle w:val="Bullet"/>
      </w:pPr>
      <w:r>
        <w:t xml:space="preserve">the </w:t>
      </w:r>
      <w:r w:rsidRPr="00C127CC">
        <w:rPr>
          <w:i/>
        </w:rPr>
        <w:t>Fair Trading Act 2010</w:t>
      </w:r>
      <w:r>
        <w:t xml:space="preserve"> (Western Australia)</w:t>
      </w:r>
      <w:r w:rsidRPr="00A30775">
        <w:t>.</w:t>
      </w:r>
    </w:p>
    <w:p w14:paraId="43DB978F" w14:textId="30BA5F8E" w:rsidR="000B60C7" w:rsidRDefault="000B60C7" w:rsidP="00302A2E">
      <w:r>
        <w:t xml:space="preserve">The ACL commenced as a law of the Commonwealth and of each </w:t>
      </w:r>
      <w:r w:rsidR="00121C57">
        <w:t>s</w:t>
      </w:r>
      <w:r>
        <w:t xml:space="preserve">tate and </w:t>
      </w:r>
      <w:r w:rsidR="00121C57">
        <w:t>t</w:t>
      </w:r>
      <w:r>
        <w:t xml:space="preserve">erritory on 1 January 2011. </w:t>
      </w:r>
    </w:p>
    <w:p w14:paraId="43DB9790" w14:textId="77777777" w:rsidR="000B60C7" w:rsidRDefault="000B60C7" w:rsidP="000B60C7">
      <w:pPr>
        <w:pStyle w:val="Heading3"/>
      </w:pPr>
      <w:bookmarkStart w:id="118" w:name="_Toc342299547"/>
      <w:bookmarkStart w:id="119" w:name="_Toc342381508"/>
      <w:r>
        <w:t>Review of the ACL</w:t>
      </w:r>
      <w:bookmarkEnd w:id="118"/>
      <w:bookmarkEnd w:id="119"/>
    </w:p>
    <w:p w14:paraId="43DB9791" w14:textId="2D8DF11D" w:rsidR="000B60C7" w:rsidRDefault="000B60C7" w:rsidP="000B60C7">
      <w:pPr>
        <w:rPr>
          <w:i/>
        </w:rPr>
      </w:pPr>
      <w:r>
        <w:t>The enforcement and administration arrangements are to be reviewed by COAG within seven years of the commencement of the ACL</w:t>
      </w:r>
      <w:r w:rsidR="00433B24">
        <w:t xml:space="preserve">. </w:t>
      </w:r>
      <w:r>
        <w:t>The operation and effect of the new provisions of the ACL are also subject to be reviewed within this period.</w:t>
      </w:r>
    </w:p>
    <w:p w14:paraId="43DB9792" w14:textId="77777777" w:rsidR="000B60C7" w:rsidRDefault="000B60C7" w:rsidP="000B60C7">
      <w:pPr>
        <w:spacing w:after="0" w:line="240" w:lineRule="auto"/>
        <w:rPr>
          <w:rFonts w:ascii="Arial" w:hAnsi="Arial" w:cs="Arial"/>
          <w:b/>
          <w:bCs/>
          <w:iCs/>
          <w:smallCaps/>
          <w:color w:val="00673A"/>
          <w:sz w:val="28"/>
          <w:szCs w:val="28"/>
        </w:rPr>
      </w:pPr>
      <w:r>
        <w:br w:type="page"/>
      </w:r>
    </w:p>
    <w:p w14:paraId="43DB9793" w14:textId="77777777" w:rsidR="000B60C7" w:rsidRDefault="000B60C7" w:rsidP="000B60C7">
      <w:pPr>
        <w:pStyle w:val="Heading2"/>
      </w:pPr>
      <w:bookmarkStart w:id="120" w:name="_Toc342299548"/>
      <w:bookmarkStart w:id="121" w:name="_Toc342381509"/>
      <w:r w:rsidRPr="00827351">
        <w:lastRenderedPageBreak/>
        <w:t>Australia’s</w:t>
      </w:r>
      <w:r>
        <w:t xml:space="preserve"> consumer agencies</w:t>
      </w:r>
      <w:bookmarkEnd w:id="120"/>
      <w:bookmarkEnd w:id="121"/>
    </w:p>
    <w:p w14:paraId="43DB9794" w14:textId="59DE11CC" w:rsidR="000B60C7" w:rsidRDefault="000B60C7" w:rsidP="000B60C7">
      <w:r>
        <w:t xml:space="preserve">Australia has two national consumer agencies: the </w:t>
      </w:r>
      <w:r w:rsidRPr="00B47BBD">
        <w:rPr>
          <w:b/>
        </w:rPr>
        <w:t>Australian Competition and Consumer Commission</w:t>
      </w:r>
      <w:r>
        <w:t xml:space="preserve"> and the </w:t>
      </w:r>
      <w:r w:rsidRPr="00B47BBD">
        <w:rPr>
          <w:b/>
        </w:rPr>
        <w:t>Australian Securities and Investments Commission</w:t>
      </w:r>
      <w:r w:rsidR="00433B24">
        <w:t xml:space="preserve">. </w:t>
      </w:r>
      <w:r>
        <w:t xml:space="preserve">Each </w:t>
      </w:r>
      <w:r w:rsidR="00C504F5">
        <w:t>s</w:t>
      </w:r>
      <w:r>
        <w:t xml:space="preserve">tate and </w:t>
      </w:r>
      <w:r w:rsidR="00C504F5">
        <w:t>t</w:t>
      </w:r>
      <w:r>
        <w:t>erritory also has its own consumer agency:</w:t>
      </w:r>
    </w:p>
    <w:p w14:paraId="43DB9795" w14:textId="77777777" w:rsidR="000B60C7" w:rsidRDefault="000B60C7" w:rsidP="000B60C7">
      <w:pPr>
        <w:pStyle w:val="Bullet"/>
      </w:pPr>
      <w:r w:rsidRPr="00F82BAD">
        <w:rPr>
          <w:b/>
        </w:rPr>
        <w:t>N</w:t>
      </w:r>
      <w:r>
        <w:rPr>
          <w:b/>
        </w:rPr>
        <w:t xml:space="preserve">ew </w:t>
      </w:r>
      <w:r w:rsidRPr="00F82BAD">
        <w:rPr>
          <w:b/>
        </w:rPr>
        <w:t>S</w:t>
      </w:r>
      <w:r>
        <w:rPr>
          <w:b/>
        </w:rPr>
        <w:t xml:space="preserve">outh </w:t>
      </w:r>
      <w:r w:rsidRPr="00F82BAD">
        <w:rPr>
          <w:b/>
        </w:rPr>
        <w:t>W</w:t>
      </w:r>
      <w:r>
        <w:rPr>
          <w:b/>
        </w:rPr>
        <w:t>ales</w:t>
      </w:r>
      <w:r w:rsidRPr="00F82BAD">
        <w:rPr>
          <w:b/>
        </w:rPr>
        <w:t xml:space="preserve"> Fair Trading</w:t>
      </w:r>
      <w:r>
        <w:t xml:space="preserve"> within the NSW Department of Finance and Services;</w:t>
      </w:r>
    </w:p>
    <w:p w14:paraId="43DB9796" w14:textId="77777777" w:rsidR="000B60C7" w:rsidRDefault="000B60C7" w:rsidP="000B60C7">
      <w:pPr>
        <w:pStyle w:val="Bullet"/>
      </w:pPr>
      <w:r w:rsidRPr="00F82BAD">
        <w:rPr>
          <w:b/>
        </w:rPr>
        <w:t>Consumer Affairs Victoria</w:t>
      </w:r>
      <w:r>
        <w:t>, within the Victorian Department of Justice;</w:t>
      </w:r>
    </w:p>
    <w:p w14:paraId="43DB9797" w14:textId="0B74D9E2" w:rsidR="000B60C7" w:rsidRDefault="000B60C7" w:rsidP="000B60C7">
      <w:pPr>
        <w:pStyle w:val="Bullet"/>
      </w:pPr>
      <w:r>
        <w:t xml:space="preserve">the </w:t>
      </w:r>
      <w:r w:rsidRPr="00F82BAD">
        <w:rPr>
          <w:b/>
        </w:rPr>
        <w:t>Queensland O</w:t>
      </w:r>
      <w:r>
        <w:rPr>
          <w:b/>
        </w:rPr>
        <w:t xml:space="preserve">ffice of </w:t>
      </w:r>
      <w:r w:rsidRPr="00F82BAD">
        <w:rPr>
          <w:b/>
        </w:rPr>
        <w:t>F</w:t>
      </w:r>
      <w:r>
        <w:rPr>
          <w:b/>
        </w:rPr>
        <w:t xml:space="preserve">air </w:t>
      </w:r>
      <w:r w:rsidRPr="00F82BAD">
        <w:rPr>
          <w:b/>
        </w:rPr>
        <w:t>T</w:t>
      </w:r>
      <w:r>
        <w:rPr>
          <w:b/>
        </w:rPr>
        <w:t>rading</w:t>
      </w:r>
      <w:r>
        <w:t>, within the Queensland Department of Justice and Attorney</w:t>
      </w:r>
      <w:r w:rsidR="00433B24">
        <w:noBreakHyphen/>
      </w:r>
      <w:r>
        <w:t>General;</w:t>
      </w:r>
    </w:p>
    <w:p w14:paraId="43DB9798" w14:textId="77777777" w:rsidR="000B60C7" w:rsidRDefault="000B60C7" w:rsidP="000B60C7">
      <w:pPr>
        <w:pStyle w:val="Bullet"/>
      </w:pPr>
      <w:r>
        <w:t xml:space="preserve">the </w:t>
      </w:r>
      <w:r w:rsidRPr="00F82BAD">
        <w:rPr>
          <w:b/>
        </w:rPr>
        <w:t>W</w:t>
      </w:r>
      <w:r>
        <w:rPr>
          <w:b/>
        </w:rPr>
        <w:t xml:space="preserve">estern </w:t>
      </w:r>
      <w:r w:rsidRPr="00F82BAD">
        <w:rPr>
          <w:b/>
        </w:rPr>
        <w:t>A</w:t>
      </w:r>
      <w:r>
        <w:rPr>
          <w:b/>
        </w:rPr>
        <w:t>ustralia</w:t>
      </w:r>
      <w:r w:rsidRPr="00F82BAD">
        <w:rPr>
          <w:b/>
        </w:rPr>
        <w:t xml:space="preserve"> Department of Commerce — Consumer Protection</w:t>
      </w:r>
      <w:r>
        <w:t>;</w:t>
      </w:r>
    </w:p>
    <w:p w14:paraId="43DB9799" w14:textId="0CE64031" w:rsidR="000B60C7" w:rsidRDefault="000B60C7" w:rsidP="000B60C7">
      <w:pPr>
        <w:pStyle w:val="Bullet"/>
      </w:pPr>
      <w:r>
        <w:t xml:space="preserve">the </w:t>
      </w:r>
      <w:r w:rsidR="0027479E" w:rsidRPr="00E92463">
        <w:rPr>
          <w:b/>
        </w:rPr>
        <w:t>Consumer and Business Services Division,</w:t>
      </w:r>
      <w:r>
        <w:t xml:space="preserve"> within the SA Attorney</w:t>
      </w:r>
      <w:r w:rsidR="00433B24">
        <w:noBreakHyphen/>
      </w:r>
      <w:r>
        <w:t>General’s Department;</w:t>
      </w:r>
    </w:p>
    <w:p w14:paraId="43DB979A" w14:textId="77777777" w:rsidR="000B60C7" w:rsidRDefault="000B60C7" w:rsidP="000B60C7">
      <w:pPr>
        <w:pStyle w:val="Bullet"/>
      </w:pPr>
      <w:r>
        <w:t xml:space="preserve">the </w:t>
      </w:r>
      <w:r w:rsidRPr="00B47BBD">
        <w:rPr>
          <w:b/>
        </w:rPr>
        <w:t>Tasmanian Office of Consumer Affairs and Fair Trading</w:t>
      </w:r>
      <w:r>
        <w:t>, within the Tasmanian  Department of Justice;</w:t>
      </w:r>
    </w:p>
    <w:p w14:paraId="43DB979B" w14:textId="34735CF9" w:rsidR="000B60C7" w:rsidRDefault="000B60C7" w:rsidP="000B60C7">
      <w:pPr>
        <w:pStyle w:val="Bullet"/>
      </w:pPr>
      <w:r>
        <w:t xml:space="preserve">the </w:t>
      </w:r>
      <w:r w:rsidRPr="00B47BBD">
        <w:rPr>
          <w:b/>
        </w:rPr>
        <w:t>A</w:t>
      </w:r>
      <w:r>
        <w:rPr>
          <w:b/>
        </w:rPr>
        <w:t xml:space="preserve">ustralian </w:t>
      </w:r>
      <w:r w:rsidRPr="00B47BBD">
        <w:rPr>
          <w:b/>
        </w:rPr>
        <w:t>C</w:t>
      </w:r>
      <w:r>
        <w:rPr>
          <w:b/>
        </w:rPr>
        <w:t xml:space="preserve">apital </w:t>
      </w:r>
      <w:r w:rsidRPr="00B47BBD">
        <w:rPr>
          <w:b/>
        </w:rPr>
        <w:t>T</w:t>
      </w:r>
      <w:r>
        <w:rPr>
          <w:b/>
        </w:rPr>
        <w:t>erritory</w:t>
      </w:r>
      <w:r w:rsidRPr="00B47BBD">
        <w:rPr>
          <w:b/>
        </w:rPr>
        <w:t xml:space="preserve"> Office of Regulatory Services</w:t>
      </w:r>
      <w:r>
        <w:t xml:space="preserve">, within the </w:t>
      </w:r>
      <w:r w:rsidR="00CA2482">
        <w:t>ACT  </w:t>
      </w:r>
      <w:r w:rsidR="00CA2482" w:rsidRPr="00CA2482">
        <w:t xml:space="preserve">Justice and Community </w:t>
      </w:r>
      <w:r w:rsidR="00CA2482" w:rsidRPr="00571A84">
        <w:t>Safety Direc</w:t>
      </w:r>
      <w:r w:rsidR="00CA2482" w:rsidRPr="00CA2482">
        <w:t>torate</w:t>
      </w:r>
      <w:r>
        <w:t>; and</w:t>
      </w:r>
    </w:p>
    <w:p w14:paraId="43DB979C" w14:textId="77777777" w:rsidR="000B60C7" w:rsidRDefault="000B60C7" w:rsidP="000B60C7">
      <w:pPr>
        <w:pStyle w:val="Bullet"/>
      </w:pPr>
      <w:r w:rsidRPr="00B47BBD">
        <w:rPr>
          <w:b/>
        </w:rPr>
        <w:t>NT Consumer Affairs</w:t>
      </w:r>
      <w:r>
        <w:t xml:space="preserve">, within the NT Department of Justice. </w:t>
      </w:r>
    </w:p>
    <w:p w14:paraId="43DB979D" w14:textId="77777777" w:rsidR="000B60C7" w:rsidRDefault="000B60C7" w:rsidP="000B60C7">
      <w:r>
        <w:t xml:space="preserve">In New Zealand consumer law enforcement responsibilities lie with both the </w:t>
      </w:r>
      <w:r w:rsidR="004371E2" w:rsidRPr="00E92463">
        <w:rPr>
          <w:b/>
        </w:rPr>
        <w:t>New Zealand Ministry of Business, Innovation and Employment</w:t>
      </w:r>
      <w:r>
        <w:t xml:space="preserve"> (for some specific issues) and the </w:t>
      </w:r>
      <w:r w:rsidRPr="00B47BBD">
        <w:rPr>
          <w:b/>
        </w:rPr>
        <w:t>N</w:t>
      </w:r>
      <w:r>
        <w:rPr>
          <w:b/>
        </w:rPr>
        <w:t xml:space="preserve">ew </w:t>
      </w:r>
      <w:r w:rsidRPr="00B47BBD">
        <w:rPr>
          <w:b/>
        </w:rPr>
        <w:t>Z</w:t>
      </w:r>
      <w:r>
        <w:rPr>
          <w:b/>
        </w:rPr>
        <w:t>ealand</w:t>
      </w:r>
      <w:r w:rsidRPr="00B47BBD">
        <w:rPr>
          <w:b/>
        </w:rPr>
        <w:t xml:space="preserve"> Commerce Commission</w:t>
      </w:r>
      <w:r>
        <w:t xml:space="preserve">. </w:t>
      </w:r>
    </w:p>
    <w:p w14:paraId="43DB979E" w14:textId="77777777" w:rsidR="000B60C7" w:rsidRDefault="000B60C7" w:rsidP="000B60C7">
      <w:r>
        <w:t xml:space="preserve">Each of these agencies also has a range of other statutory and regulatory functions which it must fulfil under the laws of each jurisdiction, in addition to their responsibilities for general consumer protection and fair trading matters. </w:t>
      </w:r>
    </w:p>
    <w:p w14:paraId="43DB979F" w14:textId="77777777" w:rsidR="000B60C7" w:rsidRDefault="000B60C7" w:rsidP="000B60C7">
      <w:pPr>
        <w:pStyle w:val="Heading3"/>
      </w:pPr>
      <w:bookmarkStart w:id="122" w:name="_Toc342299549"/>
      <w:bookmarkStart w:id="123" w:name="_Toc342381510"/>
      <w:r>
        <w:t xml:space="preserve">The ACL </w:t>
      </w:r>
      <w:r w:rsidRPr="00827351">
        <w:t>Memorandum</w:t>
      </w:r>
      <w:r>
        <w:t xml:space="preserve"> of Understanding</w:t>
      </w:r>
      <w:bookmarkEnd w:id="122"/>
      <w:bookmarkEnd w:id="123"/>
    </w:p>
    <w:p w14:paraId="43DB97A0" w14:textId="77777777" w:rsidR="000B60C7" w:rsidRDefault="000B60C7" w:rsidP="000B60C7">
      <w:r>
        <w:t>In July 2010, Australia’s consumer agencies agreed to a Memorandum of Understanding (</w:t>
      </w:r>
      <w:proofErr w:type="spellStart"/>
      <w:r>
        <w:t>M</w:t>
      </w:r>
      <w:r w:rsidR="006F4D07">
        <w:t>o</w:t>
      </w:r>
      <w:r>
        <w:t>U</w:t>
      </w:r>
      <w:proofErr w:type="spellEnd"/>
      <w:r>
        <w:t xml:space="preserve">) for the administration and enforcement of the ACL. The </w:t>
      </w:r>
      <w:proofErr w:type="spellStart"/>
      <w:r>
        <w:t>MoU</w:t>
      </w:r>
      <w:proofErr w:type="spellEnd"/>
      <w:r>
        <w:t xml:space="preserve"> is a comprehensive framework which builds on a previously limited range of often informal arrangements which were not universal among the jurisdictions. The </w:t>
      </w:r>
      <w:proofErr w:type="spellStart"/>
      <w:r>
        <w:t>MoU</w:t>
      </w:r>
      <w:proofErr w:type="spellEnd"/>
      <w:r>
        <w:t xml:space="preserve"> makes arrangements for:</w:t>
      </w:r>
    </w:p>
    <w:p w14:paraId="43DB97A1" w14:textId="77777777" w:rsidR="000B60C7" w:rsidRDefault="000B60C7" w:rsidP="000B60C7">
      <w:pPr>
        <w:pStyle w:val="Bullet"/>
      </w:pPr>
      <w:r>
        <w:t>enforcing the ACL, including the exchange of information and intelligence;</w:t>
      </w:r>
    </w:p>
    <w:p w14:paraId="43DB97A2" w14:textId="77777777" w:rsidR="000B60C7" w:rsidRDefault="000B60C7" w:rsidP="000B60C7">
      <w:pPr>
        <w:pStyle w:val="Bullet"/>
      </w:pPr>
      <w:r>
        <w:t>informing the general public and educating consumers and businesses about the ACL;</w:t>
      </w:r>
    </w:p>
    <w:p w14:paraId="43DB97A3" w14:textId="77777777" w:rsidR="000B60C7" w:rsidRDefault="000B60C7" w:rsidP="000B60C7">
      <w:pPr>
        <w:pStyle w:val="Bullet"/>
      </w:pPr>
      <w:r>
        <w:t xml:space="preserve">monitoring compliance with the ACL, including market surveillance; </w:t>
      </w:r>
    </w:p>
    <w:p w14:paraId="43DB97A4" w14:textId="77777777" w:rsidR="000B60C7" w:rsidRDefault="000B60C7" w:rsidP="000B60C7">
      <w:pPr>
        <w:pStyle w:val="Bullet"/>
      </w:pPr>
      <w:r>
        <w:t xml:space="preserve">specific arrangements relating to the administration of the </w:t>
      </w:r>
      <w:r w:rsidR="00357F61">
        <w:t xml:space="preserve">national </w:t>
      </w:r>
      <w:r>
        <w:t>product safety system; and</w:t>
      </w:r>
    </w:p>
    <w:p w14:paraId="43DB97A5" w14:textId="77777777" w:rsidR="007A2EA9" w:rsidRPr="004F2A4B" w:rsidRDefault="000B60C7" w:rsidP="00264839">
      <w:pPr>
        <w:pStyle w:val="Bullet"/>
      </w:pPr>
      <w:r>
        <w:t xml:space="preserve">ongoing reporting and review of the administration and enforcement of the ACL, including specific arrangements to report to CAF. </w:t>
      </w:r>
      <w:bookmarkStart w:id="124" w:name="ReturnHere"/>
      <w:bookmarkEnd w:id="124"/>
    </w:p>
    <w:sectPr w:rsidR="007A2EA9" w:rsidRPr="004F2A4B" w:rsidSect="00833E4F">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DB97B7" w14:textId="77777777" w:rsidR="002D5C85" w:rsidRDefault="002D5C85">
      <w:r>
        <w:separator/>
      </w:r>
    </w:p>
  </w:endnote>
  <w:endnote w:type="continuationSeparator" w:id="0">
    <w:p w14:paraId="43DB97B8" w14:textId="77777777" w:rsidR="002D5C85" w:rsidRDefault="002D5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wiss 721 BT">
    <w:altName w:val="Swiss 721 B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B97BB" w14:textId="77777777" w:rsidR="002D5C85" w:rsidRDefault="002D5C85">
    <w:pPr>
      <w:pStyle w:val="FooterEven"/>
    </w:pPr>
    <w:r>
      <w:t xml:space="preserve">Page </w:t>
    </w:r>
    <w:r>
      <w:fldChar w:fldCharType="begin"/>
    </w:r>
    <w:r>
      <w:instrText xml:space="preserve"> PAGE </w:instrText>
    </w:r>
    <w:r>
      <w:fldChar w:fldCharType="separate"/>
    </w:r>
    <w:r>
      <w:rPr>
        <w:noProof/>
      </w:rPr>
      <w:t>10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B97BE" w14:textId="77777777" w:rsidR="002D5C85" w:rsidRDefault="002D5C85">
    <w:pPr>
      <w:pStyle w:val="FooterOdd"/>
    </w:pPr>
    <w:r w:rsidRPr="005317EF">
      <w:t xml:space="preserve">Page </w:t>
    </w:r>
    <w:r>
      <w:fldChar w:fldCharType="begin"/>
    </w:r>
    <w:r>
      <w:instrText xml:space="preserve"> PAGE </w:instrText>
    </w:r>
    <w:r>
      <w:fldChar w:fldCharType="separate"/>
    </w:r>
    <w:r>
      <w:rPr>
        <w:noProof/>
      </w:rPr>
      <w:t>27</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8E505" w14:textId="7BBF7848" w:rsidR="002D5C85" w:rsidRDefault="002D5C85" w:rsidP="00F8272F">
    <w:pPr>
      <w:pStyle w:val="FooterOdd"/>
      <w:jc w:val="center"/>
    </w:pPr>
    <w:r>
      <w:fldChar w:fldCharType="begin"/>
    </w:r>
    <w:r>
      <w:instrText xml:space="preserve"> PAGE </w:instrText>
    </w:r>
    <w:r>
      <w:fldChar w:fldCharType="separate"/>
    </w:r>
    <w:r w:rsidR="00771263">
      <w:rPr>
        <w:noProof/>
      </w:rPr>
      <w:t>iii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AF3DB" w14:textId="54C46F1F" w:rsidR="002D5C85" w:rsidRDefault="002D5C85" w:rsidP="00F8272F">
    <w:pPr>
      <w:pStyle w:val="FooterOdd"/>
      <w:jc w:val="center"/>
    </w:pPr>
    <w:r>
      <w:fldChar w:fldCharType="begin"/>
    </w:r>
    <w:r>
      <w:instrText xml:space="preserve"> PAGE </w:instrText>
    </w:r>
    <w:r>
      <w:fldChar w:fldCharType="separate"/>
    </w:r>
    <w:r w:rsidR="00771263">
      <w:rPr>
        <w:noProof/>
      </w:rPr>
      <w:t>vii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3417F" w14:textId="77777777" w:rsidR="002D5C85" w:rsidRDefault="002D5C85" w:rsidP="00F8272F">
    <w:pPr>
      <w:pStyle w:val="FooterOdd"/>
      <w:jc w:val="center"/>
    </w:pPr>
    <w:r>
      <w:fldChar w:fldCharType="begin"/>
    </w:r>
    <w:r>
      <w:instrText xml:space="preserve"> PAGE </w:instrText>
    </w:r>
    <w:r>
      <w:fldChar w:fldCharType="separate"/>
    </w:r>
    <w:r w:rsidR="00771263">
      <w:rPr>
        <w:noProof/>
      </w:rPr>
      <w:t>27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B97B5" w14:textId="77777777" w:rsidR="002D5C85" w:rsidRDefault="002D5C85">
      <w:r>
        <w:separator/>
      </w:r>
    </w:p>
  </w:footnote>
  <w:footnote w:type="continuationSeparator" w:id="0">
    <w:p w14:paraId="43DB97B6" w14:textId="77777777" w:rsidR="002D5C85" w:rsidRDefault="002D5C85">
      <w:r>
        <w:continuationSeparator/>
      </w:r>
    </w:p>
  </w:footnote>
  <w:footnote w:id="1">
    <w:p w14:paraId="43DB97C0" w14:textId="77777777" w:rsidR="002D5C85" w:rsidRDefault="002D5C85" w:rsidP="00B75F26">
      <w:pPr>
        <w:pStyle w:val="FootnoteText"/>
      </w:pPr>
      <w:r w:rsidRPr="006B482D">
        <w:footnoteRef/>
      </w:r>
      <w:r>
        <w:tab/>
        <w:t xml:space="preserve">Ministerial Council on Consumer Affairs (2009). </w:t>
      </w:r>
      <w:r w:rsidRPr="00C20D2A">
        <w:rPr>
          <w:i/>
        </w:rPr>
        <w:t>A new approach to consumer policy:  Strategy 2010-2012</w:t>
      </w:r>
      <w:r>
        <w:t>, p 4.</w:t>
      </w:r>
    </w:p>
  </w:footnote>
  <w:footnote w:id="2">
    <w:p w14:paraId="43DB97C1" w14:textId="4157CD5C" w:rsidR="002D5C85" w:rsidRDefault="002D5C85">
      <w:pPr>
        <w:pStyle w:val="FootnoteText"/>
      </w:pPr>
      <w:r w:rsidRPr="007A7C16">
        <w:rPr>
          <w:rStyle w:val="FootnoteReference"/>
          <w:vertAlign w:val="baseline"/>
        </w:rPr>
        <w:footnoteRef/>
      </w:r>
      <w:r>
        <w:t xml:space="preserve"> </w:t>
      </w:r>
      <w:r>
        <w:tab/>
        <w:t>This approach is outlined at Figure 1.</w:t>
      </w:r>
    </w:p>
  </w:footnote>
  <w:footnote w:id="3">
    <w:p w14:paraId="43DB97C2" w14:textId="77777777" w:rsidR="002D5C85" w:rsidRDefault="002D5C85" w:rsidP="000B60C7">
      <w:pPr>
        <w:pStyle w:val="FootnoteText"/>
      </w:pPr>
      <w:r w:rsidRPr="00F8272F">
        <w:rPr>
          <w:rStyle w:val="FootnoteReference"/>
          <w:vertAlign w:val="baseline"/>
        </w:rPr>
        <w:footnoteRef/>
      </w:r>
      <w:r w:rsidRPr="00F8272F">
        <w:t xml:space="preserve"> </w:t>
      </w:r>
      <w:r>
        <w:tab/>
        <w:t>Now the COAG Legislative and Governance Forum on Consumer Affairs (CAF).</w:t>
      </w:r>
    </w:p>
  </w:footnote>
  <w:footnote w:id="4">
    <w:p w14:paraId="43DB97C3" w14:textId="77777777" w:rsidR="002D5C85" w:rsidRDefault="002D5C85" w:rsidP="000B60C7">
      <w:pPr>
        <w:pStyle w:val="FootnoteText"/>
      </w:pPr>
      <w:r w:rsidRPr="006B482D">
        <w:footnoteRef/>
      </w:r>
      <w:r>
        <w:tab/>
        <w:t xml:space="preserve">Ministerial Council on Consumer Affairs (2009). </w:t>
      </w:r>
      <w:r w:rsidRPr="00C20D2A">
        <w:rPr>
          <w:i/>
        </w:rPr>
        <w:t>A new approach to consumer policy:  Strategy 2010-2012</w:t>
      </w:r>
      <w:r>
        <w:t>, p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B97B9" w14:textId="77777777" w:rsidR="002D5C85" w:rsidRDefault="002D5C85">
    <w:pPr>
      <w:pStyle w:val="HeaderEven"/>
    </w:pPr>
    <w:r>
      <w:t>Publication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4731A" w14:textId="1A1A3F1A" w:rsidR="002D5C85" w:rsidRDefault="002D5C85">
    <w:pPr>
      <w:pStyle w:val="HeaderOd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B76AF5E"/>
    <w:lvl w:ilvl="0">
      <w:start w:val="1"/>
      <w:numFmt w:val="decimal"/>
      <w:lvlText w:val="%1."/>
      <w:lvlJc w:val="left"/>
      <w:pPr>
        <w:tabs>
          <w:tab w:val="num" w:pos="1492"/>
        </w:tabs>
        <w:ind w:left="1492" w:hanging="360"/>
      </w:pPr>
    </w:lvl>
  </w:abstractNum>
  <w:abstractNum w:abstractNumId="1">
    <w:nsid w:val="FFFFFF7D"/>
    <w:multiLevelType w:val="singleLevel"/>
    <w:tmpl w:val="EEA2744C"/>
    <w:lvl w:ilvl="0">
      <w:start w:val="1"/>
      <w:numFmt w:val="decimal"/>
      <w:lvlText w:val="%1."/>
      <w:lvlJc w:val="left"/>
      <w:pPr>
        <w:tabs>
          <w:tab w:val="num" w:pos="1209"/>
        </w:tabs>
        <w:ind w:left="1209" w:hanging="360"/>
      </w:pPr>
    </w:lvl>
  </w:abstractNum>
  <w:abstractNum w:abstractNumId="2">
    <w:nsid w:val="FFFFFF7E"/>
    <w:multiLevelType w:val="singleLevel"/>
    <w:tmpl w:val="E2F43C9A"/>
    <w:lvl w:ilvl="0">
      <w:start w:val="1"/>
      <w:numFmt w:val="decimal"/>
      <w:lvlText w:val="%1."/>
      <w:lvlJc w:val="left"/>
      <w:pPr>
        <w:tabs>
          <w:tab w:val="num" w:pos="926"/>
        </w:tabs>
        <w:ind w:left="926" w:hanging="360"/>
      </w:pPr>
    </w:lvl>
  </w:abstractNum>
  <w:abstractNum w:abstractNumId="3">
    <w:nsid w:val="FFFFFF7F"/>
    <w:multiLevelType w:val="singleLevel"/>
    <w:tmpl w:val="A8D6C6DC"/>
    <w:lvl w:ilvl="0">
      <w:start w:val="1"/>
      <w:numFmt w:val="decimal"/>
      <w:lvlText w:val="%1."/>
      <w:lvlJc w:val="left"/>
      <w:pPr>
        <w:tabs>
          <w:tab w:val="num" w:pos="643"/>
        </w:tabs>
        <w:ind w:left="643" w:hanging="360"/>
      </w:pPr>
    </w:lvl>
  </w:abstractNum>
  <w:abstractNum w:abstractNumId="4">
    <w:nsid w:val="FFFFFF80"/>
    <w:multiLevelType w:val="singleLevel"/>
    <w:tmpl w:val="246E067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CAA543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B1C225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616C79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5B282C4"/>
    <w:lvl w:ilvl="0">
      <w:start w:val="1"/>
      <w:numFmt w:val="decimal"/>
      <w:lvlText w:val="%1."/>
      <w:lvlJc w:val="left"/>
      <w:pPr>
        <w:tabs>
          <w:tab w:val="num" w:pos="360"/>
        </w:tabs>
        <w:ind w:left="360" w:hanging="360"/>
      </w:pPr>
    </w:lvl>
  </w:abstractNum>
  <w:abstractNum w:abstractNumId="9">
    <w:nsid w:val="FFFFFF89"/>
    <w:multiLevelType w:val="singleLevel"/>
    <w:tmpl w:val="D9B6BB02"/>
    <w:lvl w:ilvl="0">
      <w:start w:val="1"/>
      <w:numFmt w:val="bullet"/>
      <w:lvlText w:val=""/>
      <w:lvlJc w:val="left"/>
      <w:pPr>
        <w:tabs>
          <w:tab w:val="num" w:pos="360"/>
        </w:tabs>
        <w:ind w:left="360" w:hanging="360"/>
      </w:pPr>
      <w:rPr>
        <w:rFonts w:ascii="Symbol" w:hAnsi="Symbol" w:hint="default"/>
      </w:rPr>
    </w:lvl>
  </w:abstractNum>
  <w:abstractNum w:abstractNumId="10">
    <w:nsid w:val="06C743A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254D7D"/>
    <w:multiLevelType w:val="hybridMultilevel"/>
    <w:tmpl w:val="1AD6E08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nsid w:val="09C0438A"/>
    <w:multiLevelType w:val="multilevel"/>
    <w:tmpl w:val="5BFA032E"/>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A911A46"/>
    <w:multiLevelType w:val="hybridMultilevel"/>
    <w:tmpl w:val="44BAF69A"/>
    <w:lvl w:ilvl="0" w:tplc="E370E824">
      <w:start w:val="1"/>
      <w:numFmt w:val="bullet"/>
      <w:lvlText w:val=""/>
      <w:lvlJc w:val="left"/>
      <w:pPr>
        <w:tabs>
          <w:tab w:val="num" w:pos="170"/>
        </w:tabs>
        <w:ind w:left="17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0F986026"/>
    <w:multiLevelType w:val="hybridMultilevel"/>
    <w:tmpl w:val="1B56301A"/>
    <w:lvl w:ilvl="0" w:tplc="E370E824">
      <w:start w:val="1"/>
      <w:numFmt w:val="bullet"/>
      <w:lvlText w:val=""/>
      <w:lvlJc w:val="left"/>
      <w:pPr>
        <w:tabs>
          <w:tab w:val="num" w:pos="170"/>
        </w:tabs>
        <w:ind w:left="170" w:hanging="17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8940F18"/>
    <w:multiLevelType w:val="hybridMultilevel"/>
    <w:tmpl w:val="C6901D2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nsid w:val="19C960FD"/>
    <w:multiLevelType w:val="multilevel"/>
    <w:tmpl w:val="F9EA08CE"/>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7">
    <w:nsid w:val="1B9B383D"/>
    <w:multiLevelType w:val="hybridMultilevel"/>
    <w:tmpl w:val="61BE1B8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1BFB1228"/>
    <w:multiLevelType w:val="hybridMultilevel"/>
    <w:tmpl w:val="8FECB456"/>
    <w:lvl w:ilvl="0" w:tplc="165C1160">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19">
    <w:nsid w:val="20964C9C"/>
    <w:multiLevelType w:val="hybridMultilevel"/>
    <w:tmpl w:val="6246848A"/>
    <w:lvl w:ilvl="0" w:tplc="E370E824">
      <w:start w:val="1"/>
      <w:numFmt w:val="bullet"/>
      <w:lvlText w:val=""/>
      <w:lvlJc w:val="left"/>
      <w:pPr>
        <w:tabs>
          <w:tab w:val="num" w:pos="170"/>
        </w:tabs>
        <w:ind w:left="17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236A5BB3"/>
    <w:multiLevelType w:val="multilevel"/>
    <w:tmpl w:val="FA9E4CAC"/>
    <w:lvl w:ilvl="0">
      <w:start w:val="1"/>
      <w:numFmt w:val="decimal"/>
      <w:lvlRestart w:val="0"/>
      <w:lvlText w:val="%1."/>
      <w:lvlJc w:val="left"/>
      <w:pPr>
        <w:tabs>
          <w:tab w:val="num" w:pos="567"/>
        </w:tabs>
        <w:ind w:left="567" w:hanging="567"/>
      </w:pPr>
      <w:rPr>
        <w:b w:val="0"/>
        <w:i w:val="0"/>
      </w:rPr>
    </w:lvl>
    <w:lvl w:ilvl="1">
      <w:start w:val="1"/>
      <w:numFmt w:val="decimal"/>
      <w:lvlText w:val="%1.%2."/>
      <w:lvlJc w:val="left"/>
      <w:pPr>
        <w:tabs>
          <w:tab w:val="num" w:pos="1134"/>
        </w:tabs>
        <w:ind w:left="1134" w:hanging="567"/>
      </w:pPr>
      <w:rPr>
        <w:b w:val="0"/>
        <w:i w:val="0"/>
      </w:rPr>
    </w:lvl>
    <w:lvl w:ilvl="2">
      <w:start w:val="1"/>
      <w:numFmt w:val="decimal"/>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1">
    <w:nsid w:val="244237C5"/>
    <w:multiLevelType w:val="multilevel"/>
    <w:tmpl w:val="E4E02A0E"/>
    <w:name w:val="StandardNumberedList"/>
    <w:lvl w:ilvl="0">
      <w:start w:val="1"/>
      <w:numFmt w:val="decimal"/>
      <w:lvlRestart w:val="0"/>
      <w:pStyle w:val="OutlineNumbered4"/>
      <w:lvlText w:val="%1."/>
      <w:lvlJc w:val="left"/>
      <w:pPr>
        <w:tabs>
          <w:tab w:val="num" w:pos="567"/>
        </w:tabs>
        <w:ind w:left="567" w:hanging="567"/>
      </w:pPr>
      <w:rPr>
        <w:rFonts w:hint="default"/>
        <w:b w:val="0"/>
        <w:i w:val="0"/>
      </w:rPr>
    </w:lvl>
    <w:lvl w:ilvl="1">
      <w:start w:val="1"/>
      <w:numFmt w:val="decimal"/>
      <w:pStyle w:val="OutlineNumbered2"/>
      <w:lvlText w:val="%1.%2."/>
      <w:lvlJc w:val="left"/>
      <w:pPr>
        <w:tabs>
          <w:tab w:val="num" w:pos="1134"/>
        </w:tabs>
        <w:ind w:left="1134" w:hanging="567"/>
      </w:pPr>
      <w:rPr>
        <w:rFonts w:hint="default"/>
        <w:b w:val="0"/>
        <w:i w:val="0"/>
      </w:rPr>
    </w:lvl>
    <w:lvl w:ilvl="2">
      <w:start w:val="1"/>
      <w:numFmt w:val="decimal"/>
      <w:pStyle w:val="OutlineNumbered3"/>
      <w:lvlText w:val="%1.%2.%3."/>
      <w:lvlJc w:val="left"/>
      <w:pPr>
        <w:tabs>
          <w:tab w:val="num" w:pos="1701"/>
        </w:tabs>
        <w:ind w:left="1701" w:hanging="567"/>
      </w:pPr>
      <w:rPr>
        <w:rFonts w:hint="default"/>
        <w:b w:val="0"/>
        <w:i w:val="0"/>
      </w:rPr>
    </w:lvl>
    <w:lvl w:ilvl="3">
      <w:start w:val="1"/>
      <w:numFmt w:val="decimal"/>
      <w:pStyle w:val="OutlineNumbered4"/>
      <w:lvlText w:val="%1.%2.%3.%4"/>
      <w:lvlJc w:val="left"/>
      <w:pPr>
        <w:tabs>
          <w:tab w:val="num" w:pos="2551"/>
        </w:tabs>
        <w:ind w:left="2551" w:hanging="850"/>
      </w:pPr>
      <w:rPr>
        <w:rFonts w:hint="default"/>
        <w:b w:val="0"/>
        <w:i w:val="0"/>
      </w:rPr>
    </w:lvl>
    <w:lvl w:ilvl="4">
      <w:start w:val="1"/>
      <w:numFmt w:val="lowerLetter"/>
      <w:pStyle w:val="OutlineNumbered5"/>
      <w:lvlText w:val="(%5)"/>
      <w:lvlJc w:val="left"/>
      <w:pPr>
        <w:tabs>
          <w:tab w:val="num" w:pos="2835"/>
        </w:tabs>
        <w:ind w:left="2835" w:hanging="567"/>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2">
    <w:nsid w:val="25C06266"/>
    <w:multiLevelType w:val="multilevel"/>
    <w:tmpl w:val="2F9E1BE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lowerLetter"/>
      <w:lvlText w:val="(%5)"/>
      <w:lvlJc w:val="left"/>
      <w:pPr>
        <w:tabs>
          <w:tab w:val="num" w:pos="2835"/>
        </w:tabs>
        <w:ind w:left="2835" w:hanging="567"/>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3">
    <w:nsid w:val="27440C8B"/>
    <w:multiLevelType w:val="multilevel"/>
    <w:tmpl w:val="AC48C2AA"/>
    <w:name w:val="StandardBulletedList"/>
    <w:lvl w:ilvl="0">
      <w:start w:val="1"/>
      <w:numFmt w:val="bullet"/>
      <w:pStyle w:val="Bullet"/>
      <w:lvlText w:val="•"/>
      <w:lvlJc w:val="left"/>
      <w:pPr>
        <w:tabs>
          <w:tab w:val="num" w:pos="520"/>
        </w:tabs>
        <w:ind w:left="520" w:hanging="520"/>
      </w:pPr>
      <w:rPr>
        <w:rFonts w:ascii="Times New Roman" w:hAnsi="Times New Roman" w:cs="Times New Roman"/>
        <w:b w:val="0"/>
        <w:i w:val="0"/>
      </w:rPr>
    </w:lvl>
    <w:lvl w:ilvl="1">
      <w:start w:val="1"/>
      <w:numFmt w:val="bullet"/>
      <w:pStyle w:val="Dash"/>
      <w:lvlText w:val="–"/>
      <w:lvlJc w:val="left"/>
      <w:pPr>
        <w:tabs>
          <w:tab w:val="num" w:pos="1040"/>
        </w:tabs>
        <w:ind w:left="1040" w:hanging="520"/>
      </w:pPr>
      <w:rPr>
        <w:rFonts w:ascii="Times New Roman" w:hAnsi="Times New Roman" w:cs="Times New Roman"/>
        <w:b w:val="0"/>
        <w:i w:val="0"/>
      </w:rPr>
    </w:lvl>
    <w:lvl w:ilvl="2">
      <w:start w:val="1"/>
      <w:numFmt w:val="bullet"/>
      <w:pStyle w:val="DoubleDot"/>
      <w:lvlText w:val=":"/>
      <w:lvlJc w:val="left"/>
      <w:pPr>
        <w:tabs>
          <w:tab w:val="num" w:pos="1560"/>
        </w:tabs>
        <w:ind w:left="1560" w:hanging="520"/>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4">
    <w:nsid w:val="278D78E7"/>
    <w:multiLevelType w:val="multilevel"/>
    <w:tmpl w:val="227083C4"/>
    <w:name w:val="OneLevelRomanNumeralList"/>
    <w:lvl w:ilvl="0">
      <w:start w:val="1"/>
      <w:numFmt w:val="lowerRoman"/>
      <w:lvlRestart w:val="0"/>
      <w:pStyle w:val="Romannumeral"/>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5">
    <w:nsid w:val="2D665DFA"/>
    <w:multiLevelType w:val="singleLevel"/>
    <w:tmpl w:val="7E8429CA"/>
    <w:name w:val="OneLevelAlphaParagraphList"/>
    <w:lvl w:ilvl="0">
      <w:start w:val="1"/>
      <w:numFmt w:val="lowerLetter"/>
      <w:lvlRestart w:val="0"/>
      <w:pStyle w:val="AlphaParagraph"/>
      <w:lvlText w:val="(%1)"/>
      <w:lvlJc w:val="left"/>
      <w:pPr>
        <w:tabs>
          <w:tab w:val="num" w:pos="567"/>
        </w:tabs>
        <w:ind w:left="567" w:hanging="567"/>
      </w:pPr>
      <w:rPr>
        <w:rFonts w:ascii="Book Antiqua" w:hAnsi="Book Antiqua"/>
        <w:b w:val="0"/>
        <w:i w:val="0"/>
        <w:sz w:val="20"/>
      </w:rPr>
    </w:lvl>
  </w:abstractNum>
  <w:abstractNum w:abstractNumId="26">
    <w:nsid w:val="30EB5FC2"/>
    <w:multiLevelType w:val="multilevel"/>
    <w:tmpl w:val="5118905A"/>
    <w:lvl w:ilvl="0">
      <w:start w:val="1"/>
      <w:numFmt w:val="decimal"/>
      <w:lvlRestart w:val="0"/>
      <w:lvlText w:val="%1."/>
      <w:lvlJc w:val="left"/>
      <w:pPr>
        <w:tabs>
          <w:tab w:val="num" w:pos="567"/>
        </w:tabs>
        <w:ind w:left="567" w:hanging="567"/>
      </w:pPr>
      <w:rPr>
        <w:rFonts w:ascii="Calibri" w:hAnsi="Calibri" w:cs="Times New Roman" w:hint="default"/>
        <w:b w:val="0"/>
        <w:i w:val="0"/>
        <w:sz w:val="22"/>
      </w:rPr>
    </w:lvl>
    <w:lvl w:ilvl="1">
      <w:start w:val="1"/>
      <w:numFmt w:val="decimal"/>
      <w:lvlText w:val="%1.%2"/>
      <w:lvlJc w:val="left"/>
      <w:pPr>
        <w:tabs>
          <w:tab w:val="num" w:pos="567"/>
        </w:tabs>
        <w:ind w:left="567" w:hanging="567"/>
      </w:pPr>
      <w:rPr>
        <w:rFonts w:ascii="Calibri" w:hAnsi="Calibri" w:cs="Times New Roman" w:hint="default"/>
        <w:b w:val="0"/>
        <w:i w:val="0"/>
        <w:sz w:val="22"/>
      </w:rPr>
    </w:lvl>
    <w:lvl w:ilvl="2">
      <w:start w:val="1"/>
      <w:numFmt w:val="decimal"/>
      <w:lvlText w:val="%1.%2.%3"/>
      <w:lvlJc w:val="left"/>
      <w:pPr>
        <w:tabs>
          <w:tab w:val="num" w:pos="851"/>
        </w:tabs>
        <w:ind w:left="851" w:hanging="851"/>
      </w:pPr>
      <w:rPr>
        <w:rFonts w:ascii="Calibri" w:hAnsi="Calibri" w:cs="Times New Roman" w:hint="default"/>
        <w:b w:val="0"/>
        <w:i w:val="0"/>
        <w:sz w:val="22"/>
      </w:rPr>
    </w:lvl>
    <w:lvl w:ilvl="3">
      <w:start w:val="1"/>
      <w:numFmt w:val="decimal"/>
      <w:lvlText w:val="%1.%2.%3.%4"/>
      <w:lvlJc w:val="left"/>
      <w:pPr>
        <w:tabs>
          <w:tab w:val="num" w:pos="851"/>
        </w:tabs>
        <w:ind w:left="851" w:hanging="851"/>
      </w:pPr>
      <w:rPr>
        <w:rFonts w:ascii="Calibri" w:hAnsi="Calibri" w:cs="Times New Roman" w:hint="default"/>
        <w:b w:val="0"/>
        <w:i w:val="0"/>
        <w:sz w:val="22"/>
      </w:rPr>
    </w:lvl>
    <w:lvl w:ilvl="4">
      <w:start w:val="1"/>
      <w:numFmt w:val="decimal"/>
      <w:lvlText w:val="%1.%2.%3.%4.%5"/>
      <w:lvlJc w:val="left"/>
      <w:pPr>
        <w:tabs>
          <w:tab w:val="num" w:pos="1008"/>
        </w:tabs>
        <w:ind w:left="1008" w:hanging="1008"/>
      </w:pPr>
      <w:rPr>
        <w:rFonts w:cs="Times New Roman" w:hint="default"/>
        <w:b w:val="0"/>
        <w:i w:val="0"/>
      </w:rPr>
    </w:lvl>
    <w:lvl w:ilvl="5">
      <w:start w:val="1"/>
      <w:numFmt w:val="decimal"/>
      <w:lvlText w:val="%1.%2.%3.%4.%5.%6"/>
      <w:lvlJc w:val="left"/>
      <w:pPr>
        <w:tabs>
          <w:tab w:val="num" w:pos="1152"/>
        </w:tabs>
        <w:ind w:left="1152" w:hanging="1152"/>
      </w:pPr>
      <w:rPr>
        <w:rFonts w:cs="Times New Roman" w:hint="default"/>
        <w:b w:val="0"/>
        <w:i w:val="0"/>
      </w:rPr>
    </w:lvl>
    <w:lvl w:ilvl="6">
      <w:start w:val="1"/>
      <w:numFmt w:val="decimal"/>
      <w:lvlText w:val="%1.%2.%3.%4.%5.%6.%7"/>
      <w:lvlJc w:val="left"/>
      <w:pPr>
        <w:tabs>
          <w:tab w:val="num" w:pos="1296"/>
        </w:tabs>
        <w:ind w:left="1296" w:hanging="1296"/>
      </w:pPr>
      <w:rPr>
        <w:rFonts w:cs="Times New Roman" w:hint="default"/>
        <w:b w:val="0"/>
        <w:i w:val="0"/>
      </w:rPr>
    </w:lvl>
    <w:lvl w:ilvl="7">
      <w:start w:val="1"/>
      <w:numFmt w:val="decimal"/>
      <w:lvlText w:val="%1.%2.%3.%4.%5.%6.%7.%8"/>
      <w:lvlJc w:val="left"/>
      <w:pPr>
        <w:tabs>
          <w:tab w:val="num" w:pos="1440"/>
        </w:tabs>
        <w:ind w:left="1440" w:hanging="1440"/>
      </w:pPr>
      <w:rPr>
        <w:rFonts w:cs="Times New Roman" w:hint="default"/>
        <w:b w:val="0"/>
        <w:i w:val="0"/>
      </w:rPr>
    </w:lvl>
    <w:lvl w:ilvl="8">
      <w:start w:val="1"/>
      <w:numFmt w:val="decimal"/>
      <w:lvlText w:val="%1.%2.%3.%4.%5.%6.%7.%8.%9"/>
      <w:lvlJc w:val="left"/>
      <w:pPr>
        <w:tabs>
          <w:tab w:val="num" w:pos="1584"/>
        </w:tabs>
        <w:ind w:left="1584" w:hanging="1584"/>
      </w:pPr>
      <w:rPr>
        <w:rFonts w:cs="Times New Roman" w:hint="default"/>
        <w:b w:val="0"/>
        <w:i w:val="0"/>
      </w:rPr>
    </w:lvl>
  </w:abstractNum>
  <w:abstractNum w:abstractNumId="27">
    <w:nsid w:val="380F52C7"/>
    <w:multiLevelType w:val="multilevel"/>
    <w:tmpl w:val="3BE05C02"/>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nsid w:val="3C554A3D"/>
    <w:multiLevelType w:val="multilevel"/>
    <w:tmpl w:val="43023580"/>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3C857931"/>
    <w:multiLevelType w:val="singleLevel"/>
    <w:tmpl w:val="0C09000F"/>
    <w:lvl w:ilvl="0">
      <w:start w:val="1"/>
      <w:numFmt w:val="decimal"/>
      <w:lvlText w:val="%1."/>
      <w:lvlJc w:val="left"/>
      <w:pPr>
        <w:tabs>
          <w:tab w:val="num" w:pos="720"/>
        </w:tabs>
        <w:ind w:left="720" w:hanging="360"/>
      </w:pPr>
    </w:lvl>
  </w:abstractNum>
  <w:abstractNum w:abstractNumId="30">
    <w:nsid w:val="3E9F240F"/>
    <w:multiLevelType w:val="hybridMultilevel"/>
    <w:tmpl w:val="3E70B44E"/>
    <w:lvl w:ilvl="0" w:tplc="427CEC14">
      <w:start w:val="15"/>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07229D3"/>
    <w:multiLevelType w:val="multilevel"/>
    <w:tmpl w:val="BC524FD0"/>
    <w:lvl w:ilvl="0">
      <w:start w:val="1"/>
      <w:numFmt w:val="decimal"/>
      <w:lvlRestart w:val="0"/>
      <w:pStyle w:val="ChapterHeading"/>
      <w:suff w:val="nothing"/>
      <w:lvlText w:val=""/>
      <w:lvlJc w:val="left"/>
      <w:rPr>
        <w:rFonts w:cs="Times New Roman"/>
        <w:b w:val="0"/>
        <w:i w:val="0"/>
        <w:color w:val="000000"/>
      </w:rPr>
    </w:lvl>
    <w:lvl w:ilvl="1">
      <w:start w:val="1"/>
      <w:numFmt w:val="decimal"/>
      <w:lvlText w:val="%1.%2"/>
      <w:lvlJc w:val="left"/>
      <w:pPr>
        <w:tabs>
          <w:tab w:val="num" w:pos="1984"/>
        </w:tabs>
        <w:ind w:left="1134"/>
      </w:pPr>
      <w:rPr>
        <w:rFonts w:cs="Times New Roman"/>
        <w:b w:val="0"/>
        <w:i w:val="0"/>
        <w:color w:val="000000"/>
      </w:rPr>
    </w:lvl>
    <w:lvl w:ilvl="2">
      <w:start w:val="1"/>
      <w:numFmt w:val="decimal"/>
      <w:lvlRestart w:val="0"/>
      <w:suff w:val="nothing"/>
      <w:lvlText w:val="Example %1.%3"/>
      <w:lvlJc w:val="left"/>
      <w:pPr>
        <w:ind w:left="1134"/>
      </w:pPr>
      <w:rPr>
        <w:rFonts w:ascii="Times New Roman" w:hAnsi="Times New Roman" w:cs="Times New Roman"/>
        <w:b/>
        <w:i w:val="0"/>
        <w:color w:val="000000"/>
        <w:sz w:val="22"/>
      </w:rPr>
    </w:lvl>
    <w:lvl w:ilvl="3">
      <w:start w:val="1"/>
      <w:numFmt w:val="decimal"/>
      <w:lvlRestart w:val="0"/>
      <w:pStyle w:val="Diagram"/>
      <w:suff w:val="nothing"/>
      <w:lvlText w:val="Diagram %1.%4"/>
      <w:lvlJc w:val="left"/>
      <w:pPr>
        <w:ind w:left="1134"/>
      </w:pPr>
      <w:rPr>
        <w:rFonts w:ascii="Times New Roman" w:hAnsi="Times New Roman" w:cs="Times New Roman"/>
        <w:b/>
        <w:i w:val="0"/>
        <w:color w:val="000000"/>
        <w:sz w:val="22"/>
      </w:rPr>
    </w:lvl>
    <w:lvl w:ilvl="4">
      <w:start w:val="1"/>
      <w:numFmt w:val="decimal"/>
      <w:lvlRestart w:val="0"/>
      <w:pStyle w:val="ChapterHeading"/>
      <w:suff w:val="nothing"/>
      <w:lvlText w:val="Table %1.%5"/>
      <w:lvlJc w:val="left"/>
      <w:pPr>
        <w:ind w:left="1134"/>
      </w:pPr>
      <w:rPr>
        <w:rFonts w:ascii="Times New Roman" w:hAnsi="Times New Roman" w:cs="Times New Roman"/>
        <w:b/>
        <w:i w:val="0"/>
        <w:color w:val="000000"/>
        <w:sz w:val="22"/>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32">
    <w:nsid w:val="418B22D4"/>
    <w:multiLevelType w:val="singleLevel"/>
    <w:tmpl w:val="0C09000F"/>
    <w:lvl w:ilvl="0">
      <w:start w:val="1"/>
      <w:numFmt w:val="decimal"/>
      <w:lvlText w:val="%1."/>
      <w:lvlJc w:val="left"/>
      <w:pPr>
        <w:tabs>
          <w:tab w:val="num" w:pos="720"/>
        </w:tabs>
        <w:ind w:left="720" w:hanging="360"/>
      </w:pPr>
    </w:lvl>
  </w:abstractNum>
  <w:abstractNum w:abstractNumId="33">
    <w:nsid w:val="42B72EA2"/>
    <w:multiLevelType w:val="multilevel"/>
    <w:tmpl w:val="D474F93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lowerLetter"/>
      <w:lvlText w:val="(%5)"/>
      <w:lvlJc w:val="left"/>
      <w:pPr>
        <w:tabs>
          <w:tab w:val="num" w:pos="2835"/>
        </w:tabs>
        <w:ind w:left="2835" w:hanging="567"/>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4">
    <w:nsid w:val="482E454E"/>
    <w:multiLevelType w:val="multilevel"/>
    <w:tmpl w:val="0030AC6E"/>
    <w:styleLink w:val="RecommendationList"/>
    <w:lvl w:ilvl="0">
      <w:start w:val="1"/>
      <w:numFmt w:val="bullet"/>
      <w:lvlRestart w:val="0"/>
      <w:lvlText w:val="•"/>
      <w:lvlJc w:val="left"/>
      <w:pPr>
        <w:tabs>
          <w:tab w:val="num" w:pos="567"/>
        </w:tabs>
        <w:ind w:left="567" w:hanging="283"/>
      </w:pPr>
      <w:rPr>
        <w:rFonts w:hint="default"/>
        <w:b w:val="0"/>
        <w:i w:val="0"/>
      </w:rPr>
    </w:lvl>
    <w:lvl w:ilvl="1">
      <w:start w:val="1"/>
      <w:numFmt w:val="bullet"/>
      <w:lvlText w:val="–"/>
      <w:lvlJc w:val="left"/>
      <w:pPr>
        <w:tabs>
          <w:tab w:val="num" w:pos="1134"/>
        </w:tabs>
        <w:ind w:left="1134" w:hanging="567"/>
      </w:pPr>
      <w:rPr>
        <w:rFonts w:hint="default"/>
        <w:b w:val="0"/>
        <w:i w:val="0"/>
      </w:rPr>
    </w:lvl>
    <w:lvl w:ilvl="2">
      <w:start w:val="1"/>
      <w:numFmt w:val="bullet"/>
      <w:lvlText w:val=":"/>
      <w:lvlJc w:val="left"/>
      <w:pPr>
        <w:tabs>
          <w:tab w:val="num" w:pos="1418"/>
        </w:tabs>
        <w:ind w:left="1418" w:hanging="567"/>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5">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36">
    <w:nsid w:val="4DA74A55"/>
    <w:multiLevelType w:val="multilevel"/>
    <w:tmpl w:val="E5B4E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DCD0422"/>
    <w:multiLevelType w:val="hybridMultilevel"/>
    <w:tmpl w:val="2AB4999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517124E0"/>
    <w:multiLevelType w:val="multilevel"/>
    <w:tmpl w:val="FEFA76DE"/>
    <w:lvl w:ilvl="0">
      <w:start w:val="1"/>
      <w:numFmt w:val="decimal"/>
      <w:lvlText w:val="%1."/>
      <w:lvlJc w:val="left"/>
      <w:pPr>
        <w:tabs>
          <w:tab w:val="num" w:pos="1345"/>
        </w:tabs>
        <w:ind w:left="1345" w:hanging="496"/>
      </w:pPr>
      <w:rPr>
        <w:rFonts w:hint="default"/>
      </w:rPr>
    </w:lvl>
    <w:lvl w:ilvl="1">
      <w:start w:val="1"/>
      <w:numFmt w:val="decimal"/>
      <w:lvlText w:val="%1.%2."/>
      <w:lvlJc w:val="left"/>
      <w:pPr>
        <w:tabs>
          <w:tab w:val="num" w:pos="1841"/>
        </w:tabs>
        <w:ind w:left="1841" w:hanging="496"/>
      </w:pPr>
      <w:rPr>
        <w:rFonts w:hint="default"/>
      </w:rPr>
    </w:lvl>
    <w:lvl w:ilvl="2">
      <w:start w:val="1"/>
      <w:numFmt w:val="decimal"/>
      <w:lvlText w:val="%1.%2.%3."/>
      <w:lvlJc w:val="left"/>
      <w:pPr>
        <w:tabs>
          <w:tab w:val="num" w:pos="2337"/>
        </w:tabs>
        <w:ind w:left="2337" w:hanging="496"/>
      </w:pPr>
      <w:rPr>
        <w:rFonts w:hint="default"/>
      </w:rPr>
    </w:lvl>
    <w:lvl w:ilvl="3">
      <w:start w:val="1"/>
      <w:numFmt w:val="decimal"/>
      <w:lvlText w:val="%4.%1.%2.%3."/>
      <w:lvlJc w:val="left"/>
      <w:pPr>
        <w:tabs>
          <w:tab w:val="num" w:pos="3583"/>
        </w:tabs>
        <w:ind w:left="3549" w:hanging="453"/>
      </w:pPr>
      <w:rPr>
        <w:rFonts w:hint="default"/>
      </w:rPr>
    </w:lvl>
    <w:lvl w:ilvl="4">
      <w:start w:val="1"/>
      <w:numFmt w:val="lowerLetter"/>
      <w:lvlText w:val="(%5)"/>
      <w:lvlJc w:val="left"/>
      <w:pPr>
        <w:tabs>
          <w:tab w:val="num" w:pos="2649"/>
        </w:tabs>
        <w:ind w:left="2649" w:hanging="360"/>
      </w:pPr>
      <w:rPr>
        <w:rFonts w:hint="default"/>
      </w:rPr>
    </w:lvl>
    <w:lvl w:ilvl="5">
      <w:start w:val="1"/>
      <w:numFmt w:val="lowerRoman"/>
      <w:lvlText w:val="(%6)"/>
      <w:lvlJc w:val="left"/>
      <w:pPr>
        <w:tabs>
          <w:tab w:val="num" w:pos="3009"/>
        </w:tabs>
        <w:ind w:left="3009" w:hanging="360"/>
      </w:pPr>
      <w:rPr>
        <w:rFonts w:hint="default"/>
      </w:rPr>
    </w:lvl>
    <w:lvl w:ilvl="6">
      <w:start w:val="1"/>
      <w:numFmt w:val="decimal"/>
      <w:lvlText w:val="%7."/>
      <w:lvlJc w:val="left"/>
      <w:pPr>
        <w:tabs>
          <w:tab w:val="num" w:pos="3369"/>
        </w:tabs>
        <w:ind w:left="3369" w:hanging="360"/>
      </w:pPr>
      <w:rPr>
        <w:rFonts w:hint="default"/>
      </w:rPr>
    </w:lvl>
    <w:lvl w:ilvl="7">
      <w:start w:val="1"/>
      <w:numFmt w:val="lowerLetter"/>
      <w:lvlText w:val="%8."/>
      <w:lvlJc w:val="left"/>
      <w:pPr>
        <w:tabs>
          <w:tab w:val="num" w:pos="3729"/>
        </w:tabs>
        <w:ind w:left="3729" w:hanging="360"/>
      </w:pPr>
      <w:rPr>
        <w:rFonts w:hint="default"/>
      </w:rPr>
    </w:lvl>
    <w:lvl w:ilvl="8">
      <w:start w:val="1"/>
      <w:numFmt w:val="lowerRoman"/>
      <w:lvlText w:val="%9."/>
      <w:lvlJc w:val="left"/>
      <w:pPr>
        <w:tabs>
          <w:tab w:val="num" w:pos="4089"/>
        </w:tabs>
        <w:ind w:left="4089" w:hanging="360"/>
      </w:pPr>
      <w:rPr>
        <w:rFonts w:hint="default"/>
      </w:rPr>
    </w:lvl>
  </w:abstractNum>
  <w:abstractNum w:abstractNumId="39">
    <w:nsid w:val="535357C1"/>
    <w:multiLevelType w:val="singleLevel"/>
    <w:tmpl w:val="0C09000F"/>
    <w:lvl w:ilvl="0">
      <w:start w:val="1"/>
      <w:numFmt w:val="decimal"/>
      <w:lvlText w:val="%1."/>
      <w:lvlJc w:val="left"/>
      <w:pPr>
        <w:tabs>
          <w:tab w:val="num" w:pos="720"/>
        </w:tabs>
        <w:ind w:left="720" w:hanging="360"/>
      </w:pPr>
    </w:lvl>
  </w:abstractNum>
  <w:abstractNum w:abstractNumId="40">
    <w:nsid w:val="555E4B97"/>
    <w:multiLevelType w:val="multilevel"/>
    <w:tmpl w:val="3BE8A474"/>
    <w:lvl w:ilvl="0">
      <w:start w:val="1"/>
      <w:numFmt w:val="decimal"/>
      <w:lvlText w:val="%1."/>
      <w:lvlJc w:val="left"/>
      <w:pPr>
        <w:tabs>
          <w:tab w:val="num" w:pos="1345"/>
        </w:tabs>
        <w:ind w:left="1345" w:hanging="496"/>
      </w:pPr>
      <w:rPr>
        <w:rFonts w:hint="default"/>
      </w:rPr>
    </w:lvl>
    <w:lvl w:ilvl="1">
      <w:start w:val="1"/>
      <w:numFmt w:val="decimal"/>
      <w:lvlText w:val="%1.%2."/>
      <w:lvlJc w:val="left"/>
      <w:pPr>
        <w:tabs>
          <w:tab w:val="num" w:pos="1841"/>
        </w:tabs>
        <w:ind w:left="1841" w:hanging="496"/>
      </w:pPr>
      <w:rPr>
        <w:rFonts w:hint="default"/>
      </w:rPr>
    </w:lvl>
    <w:lvl w:ilvl="2">
      <w:start w:val="1"/>
      <w:numFmt w:val="decimal"/>
      <w:lvlText w:val="%1.%2.%3."/>
      <w:lvlJc w:val="left"/>
      <w:pPr>
        <w:tabs>
          <w:tab w:val="num" w:pos="2337"/>
        </w:tabs>
        <w:ind w:left="2337" w:hanging="496"/>
      </w:pPr>
      <w:rPr>
        <w:rFonts w:hint="default"/>
      </w:rPr>
    </w:lvl>
    <w:lvl w:ilvl="3">
      <w:start w:val="1"/>
      <w:numFmt w:val="decimal"/>
      <w:lvlText w:val="%4.%1.%2.%3."/>
      <w:lvlJc w:val="left"/>
      <w:pPr>
        <w:tabs>
          <w:tab w:val="num" w:pos="2289"/>
        </w:tabs>
        <w:ind w:left="2289" w:hanging="360"/>
      </w:pPr>
      <w:rPr>
        <w:rFonts w:hint="default"/>
      </w:rPr>
    </w:lvl>
    <w:lvl w:ilvl="4">
      <w:start w:val="1"/>
      <w:numFmt w:val="lowerLetter"/>
      <w:lvlText w:val="(%5)"/>
      <w:lvlJc w:val="left"/>
      <w:pPr>
        <w:tabs>
          <w:tab w:val="num" w:pos="2649"/>
        </w:tabs>
        <w:ind w:left="2649" w:hanging="360"/>
      </w:pPr>
      <w:rPr>
        <w:rFonts w:hint="default"/>
      </w:rPr>
    </w:lvl>
    <w:lvl w:ilvl="5">
      <w:start w:val="1"/>
      <w:numFmt w:val="lowerRoman"/>
      <w:lvlText w:val="(%6)"/>
      <w:lvlJc w:val="left"/>
      <w:pPr>
        <w:tabs>
          <w:tab w:val="num" w:pos="3009"/>
        </w:tabs>
        <w:ind w:left="3009" w:hanging="360"/>
      </w:pPr>
      <w:rPr>
        <w:rFonts w:hint="default"/>
      </w:rPr>
    </w:lvl>
    <w:lvl w:ilvl="6">
      <w:start w:val="1"/>
      <w:numFmt w:val="decimal"/>
      <w:lvlText w:val="%7."/>
      <w:lvlJc w:val="left"/>
      <w:pPr>
        <w:tabs>
          <w:tab w:val="num" w:pos="3369"/>
        </w:tabs>
        <w:ind w:left="3369" w:hanging="360"/>
      </w:pPr>
      <w:rPr>
        <w:rFonts w:hint="default"/>
      </w:rPr>
    </w:lvl>
    <w:lvl w:ilvl="7">
      <w:start w:val="1"/>
      <w:numFmt w:val="lowerLetter"/>
      <w:lvlText w:val="%8."/>
      <w:lvlJc w:val="left"/>
      <w:pPr>
        <w:tabs>
          <w:tab w:val="num" w:pos="3729"/>
        </w:tabs>
        <w:ind w:left="3729" w:hanging="360"/>
      </w:pPr>
      <w:rPr>
        <w:rFonts w:hint="default"/>
      </w:rPr>
    </w:lvl>
    <w:lvl w:ilvl="8">
      <w:start w:val="1"/>
      <w:numFmt w:val="lowerRoman"/>
      <w:lvlText w:val="%9."/>
      <w:lvlJc w:val="left"/>
      <w:pPr>
        <w:tabs>
          <w:tab w:val="num" w:pos="4089"/>
        </w:tabs>
        <w:ind w:left="4089" w:hanging="360"/>
      </w:pPr>
      <w:rPr>
        <w:rFonts w:hint="default"/>
      </w:rPr>
    </w:lvl>
  </w:abstractNum>
  <w:abstractNum w:abstractNumId="41">
    <w:nsid w:val="58101827"/>
    <w:multiLevelType w:val="multilevel"/>
    <w:tmpl w:val="072C6E52"/>
    <w:name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2">
    <w:nsid w:val="5CA91540"/>
    <w:multiLevelType w:val="hybridMultilevel"/>
    <w:tmpl w:val="F23CA252"/>
    <w:lvl w:ilvl="0" w:tplc="D472CC8E">
      <w:start w:val="1"/>
      <w:numFmt w:val="decimal"/>
      <w:lvlText w:val="%1"/>
      <w:lvlJc w:val="left"/>
      <w:pPr>
        <w:tabs>
          <w:tab w:val="num" w:pos="284"/>
        </w:tabs>
        <w:ind w:left="284" w:hanging="284"/>
      </w:pPr>
      <w:rPr>
        <w:rFonts w:ascii="Calibri" w:hAnsi="Calibri" w:hint="default"/>
        <w:b w:val="0"/>
        <w:i w:val="0"/>
        <w:caps w:val="0"/>
        <w:strike w:val="0"/>
        <w:dstrike w:val="0"/>
        <w:outline w:val="0"/>
        <w:shadow w:val="0"/>
        <w:emboss w:val="0"/>
        <w:imprint w:val="0"/>
        <w:vanish w:val="0"/>
        <w:sz w:val="22"/>
        <w:vertAlign w:val="base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nsid w:val="5E0A6F8D"/>
    <w:multiLevelType w:val="multilevel"/>
    <w:tmpl w:val="51941ED6"/>
    <w:name w:val="RecommendationBulletedList"/>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4">
    <w:nsid w:val="608E0467"/>
    <w:multiLevelType w:val="hybridMultilevel"/>
    <w:tmpl w:val="84289C82"/>
    <w:lvl w:ilvl="0" w:tplc="E370E824">
      <w:start w:val="1"/>
      <w:numFmt w:val="bullet"/>
      <w:lvlText w:val=""/>
      <w:lvlJc w:val="left"/>
      <w:pPr>
        <w:tabs>
          <w:tab w:val="num" w:pos="170"/>
        </w:tabs>
        <w:ind w:left="170" w:hanging="17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65FB0D17"/>
    <w:multiLevelType w:val="singleLevel"/>
    <w:tmpl w:val="0C09000F"/>
    <w:lvl w:ilvl="0">
      <w:start w:val="1"/>
      <w:numFmt w:val="decimal"/>
      <w:lvlText w:val="%1."/>
      <w:lvlJc w:val="left"/>
      <w:pPr>
        <w:tabs>
          <w:tab w:val="num" w:pos="720"/>
        </w:tabs>
        <w:ind w:left="720" w:hanging="360"/>
      </w:pPr>
    </w:lvl>
  </w:abstractNum>
  <w:abstractNum w:abstractNumId="46">
    <w:nsid w:val="703036C2"/>
    <w:multiLevelType w:val="hybridMultilevel"/>
    <w:tmpl w:val="DF509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709E4089"/>
    <w:multiLevelType w:val="multilevel"/>
    <w:tmpl w:val="116A78CE"/>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75EA68B3"/>
    <w:multiLevelType w:val="multilevel"/>
    <w:tmpl w:val="4F96C62A"/>
    <w:lvl w:ilvl="0">
      <w:start w:val="1"/>
      <w:numFmt w:val="decimal"/>
      <w:lvlRestart w:val="0"/>
      <w:lvlText w:val="%1."/>
      <w:lvlJc w:val="left"/>
      <w:pPr>
        <w:tabs>
          <w:tab w:val="num" w:pos="567"/>
        </w:tabs>
        <w:ind w:left="567" w:hanging="567"/>
      </w:pPr>
      <w:rPr>
        <w:rFonts w:ascii="Calibri" w:hAnsi="Calibri" w:cs="Times New Roman" w:hint="default"/>
        <w:b w:val="0"/>
        <w:i w:val="0"/>
        <w:sz w:val="22"/>
      </w:rPr>
    </w:lvl>
    <w:lvl w:ilvl="1">
      <w:start w:val="1"/>
      <w:numFmt w:val="decimal"/>
      <w:lvlText w:val="%1.%2"/>
      <w:lvlJc w:val="left"/>
      <w:pPr>
        <w:tabs>
          <w:tab w:val="num" w:pos="567"/>
        </w:tabs>
        <w:ind w:left="567" w:hanging="567"/>
      </w:pPr>
      <w:rPr>
        <w:rFonts w:ascii="Calibri" w:hAnsi="Calibri" w:cs="Times New Roman" w:hint="default"/>
        <w:b w:val="0"/>
        <w:i w:val="0"/>
        <w:sz w:val="22"/>
      </w:rPr>
    </w:lvl>
    <w:lvl w:ilvl="2">
      <w:start w:val="1"/>
      <w:numFmt w:val="decimal"/>
      <w:lvlText w:val="%1.%2.%3"/>
      <w:lvlJc w:val="left"/>
      <w:pPr>
        <w:tabs>
          <w:tab w:val="num" w:pos="851"/>
        </w:tabs>
        <w:ind w:left="851" w:hanging="851"/>
      </w:pPr>
      <w:rPr>
        <w:rFonts w:ascii="Calibri" w:hAnsi="Calibri" w:cs="Times New Roman" w:hint="default"/>
        <w:b w:val="0"/>
        <w:i w:val="0"/>
        <w:sz w:val="22"/>
      </w:rPr>
    </w:lvl>
    <w:lvl w:ilvl="3">
      <w:start w:val="1"/>
      <w:numFmt w:val="decimal"/>
      <w:lvlText w:val="%1.%2.%3.%4"/>
      <w:lvlJc w:val="left"/>
      <w:pPr>
        <w:tabs>
          <w:tab w:val="num" w:pos="851"/>
        </w:tabs>
        <w:ind w:left="851" w:hanging="851"/>
      </w:pPr>
      <w:rPr>
        <w:rFonts w:ascii="Calibri" w:hAnsi="Calibri" w:cs="Times New Roman" w:hint="default"/>
        <w:b w:val="0"/>
        <w:i w:val="0"/>
        <w:sz w:val="22"/>
      </w:rPr>
    </w:lvl>
    <w:lvl w:ilvl="4">
      <w:start w:val="1"/>
      <w:numFmt w:val="decimal"/>
      <w:lvlText w:val="%1.%2.%3.%4.%5"/>
      <w:lvlJc w:val="left"/>
      <w:pPr>
        <w:tabs>
          <w:tab w:val="num" w:pos="1008"/>
        </w:tabs>
        <w:ind w:left="1008" w:hanging="1008"/>
      </w:pPr>
      <w:rPr>
        <w:rFonts w:cs="Times New Roman" w:hint="default"/>
        <w:b w:val="0"/>
        <w:i w:val="0"/>
      </w:rPr>
    </w:lvl>
    <w:lvl w:ilvl="5">
      <w:start w:val="1"/>
      <w:numFmt w:val="decimal"/>
      <w:lvlText w:val="%1.%2.%3.%4.%5.%6"/>
      <w:lvlJc w:val="left"/>
      <w:pPr>
        <w:tabs>
          <w:tab w:val="num" w:pos="1152"/>
        </w:tabs>
        <w:ind w:left="1152" w:hanging="1152"/>
      </w:pPr>
      <w:rPr>
        <w:rFonts w:cs="Times New Roman" w:hint="default"/>
        <w:b w:val="0"/>
        <w:i w:val="0"/>
      </w:rPr>
    </w:lvl>
    <w:lvl w:ilvl="6">
      <w:start w:val="1"/>
      <w:numFmt w:val="decimal"/>
      <w:lvlText w:val="%1.%2.%3.%4.%5.%6.%7"/>
      <w:lvlJc w:val="left"/>
      <w:pPr>
        <w:tabs>
          <w:tab w:val="num" w:pos="1296"/>
        </w:tabs>
        <w:ind w:left="1296" w:hanging="1296"/>
      </w:pPr>
      <w:rPr>
        <w:rFonts w:cs="Times New Roman" w:hint="default"/>
        <w:b w:val="0"/>
        <w:i w:val="0"/>
      </w:rPr>
    </w:lvl>
    <w:lvl w:ilvl="7">
      <w:start w:val="1"/>
      <w:numFmt w:val="decimal"/>
      <w:lvlText w:val="%1.%2.%3.%4.%5.%6.%7.%8"/>
      <w:lvlJc w:val="left"/>
      <w:pPr>
        <w:tabs>
          <w:tab w:val="num" w:pos="1440"/>
        </w:tabs>
        <w:ind w:left="1440" w:hanging="1440"/>
      </w:pPr>
      <w:rPr>
        <w:rFonts w:cs="Times New Roman" w:hint="default"/>
        <w:b w:val="0"/>
        <w:i w:val="0"/>
      </w:rPr>
    </w:lvl>
    <w:lvl w:ilvl="8">
      <w:start w:val="1"/>
      <w:numFmt w:val="decimal"/>
      <w:lvlText w:val="%1.%2.%3.%4.%5.%6.%7.%8.%9"/>
      <w:lvlJc w:val="left"/>
      <w:pPr>
        <w:tabs>
          <w:tab w:val="num" w:pos="1584"/>
        </w:tabs>
        <w:ind w:left="1584" w:hanging="1584"/>
      </w:pPr>
      <w:rPr>
        <w:rFonts w:cs="Times New Roman" w:hint="default"/>
        <w:b w:val="0"/>
        <w:i w:val="0"/>
      </w:rPr>
    </w:lvl>
  </w:abstractNum>
  <w:abstractNum w:abstractNumId="49">
    <w:nsid w:val="78663746"/>
    <w:multiLevelType w:val="multilevel"/>
    <w:tmpl w:val="2DB61A66"/>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nsid w:val="788610A0"/>
    <w:multiLevelType w:val="hybridMultilevel"/>
    <w:tmpl w:val="8CB0AA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nsid w:val="78CA2BE6"/>
    <w:multiLevelType w:val="hybridMultilevel"/>
    <w:tmpl w:val="A282FAA0"/>
    <w:lvl w:ilvl="0" w:tplc="D318C61E">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Courier New" w:hint="default"/>
      </w:rPr>
    </w:lvl>
    <w:lvl w:ilvl="2" w:tplc="0C090005" w:tentative="1">
      <w:start w:val="1"/>
      <w:numFmt w:val="bullet"/>
      <w:lvlText w:val=""/>
      <w:lvlJc w:val="left"/>
      <w:pPr>
        <w:tabs>
          <w:tab w:val="num" w:pos="540"/>
        </w:tabs>
        <w:ind w:left="540" w:hanging="360"/>
      </w:pPr>
      <w:rPr>
        <w:rFonts w:ascii="Wingdings" w:hAnsi="Wingdings" w:hint="default"/>
      </w:rPr>
    </w:lvl>
    <w:lvl w:ilvl="3" w:tplc="0C090001" w:tentative="1">
      <w:start w:val="1"/>
      <w:numFmt w:val="bullet"/>
      <w:lvlText w:val=""/>
      <w:lvlJc w:val="left"/>
      <w:pPr>
        <w:tabs>
          <w:tab w:val="num" w:pos="1260"/>
        </w:tabs>
        <w:ind w:left="1260" w:hanging="360"/>
      </w:pPr>
      <w:rPr>
        <w:rFonts w:ascii="Symbol" w:hAnsi="Symbol" w:hint="default"/>
      </w:rPr>
    </w:lvl>
    <w:lvl w:ilvl="4" w:tplc="0C090003" w:tentative="1">
      <w:start w:val="1"/>
      <w:numFmt w:val="bullet"/>
      <w:lvlText w:val="o"/>
      <w:lvlJc w:val="left"/>
      <w:pPr>
        <w:tabs>
          <w:tab w:val="num" w:pos="1980"/>
        </w:tabs>
        <w:ind w:left="1980" w:hanging="360"/>
      </w:pPr>
      <w:rPr>
        <w:rFonts w:ascii="Courier New" w:hAnsi="Courier New" w:cs="Courier New" w:hint="default"/>
      </w:rPr>
    </w:lvl>
    <w:lvl w:ilvl="5" w:tplc="0C090005" w:tentative="1">
      <w:start w:val="1"/>
      <w:numFmt w:val="bullet"/>
      <w:lvlText w:val=""/>
      <w:lvlJc w:val="left"/>
      <w:pPr>
        <w:tabs>
          <w:tab w:val="num" w:pos="2700"/>
        </w:tabs>
        <w:ind w:left="2700" w:hanging="360"/>
      </w:pPr>
      <w:rPr>
        <w:rFonts w:ascii="Wingdings" w:hAnsi="Wingdings" w:hint="default"/>
      </w:rPr>
    </w:lvl>
    <w:lvl w:ilvl="6" w:tplc="0C090001" w:tentative="1">
      <w:start w:val="1"/>
      <w:numFmt w:val="bullet"/>
      <w:lvlText w:val=""/>
      <w:lvlJc w:val="left"/>
      <w:pPr>
        <w:tabs>
          <w:tab w:val="num" w:pos="3420"/>
        </w:tabs>
        <w:ind w:left="3420" w:hanging="360"/>
      </w:pPr>
      <w:rPr>
        <w:rFonts w:ascii="Symbol" w:hAnsi="Symbol" w:hint="default"/>
      </w:rPr>
    </w:lvl>
    <w:lvl w:ilvl="7" w:tplc="0C090003" w:tentative="1">
      <w:start w:val="1"/>
      <w:numFmt w:val="bullet"/>
      <w:lvlText w:val="o"/>
      <w:lvlJc w:val="left"/>
      <w:pPr>
        <w:tabs>
          <w:tab w:val="num" w:pos="4140"/>
        </w:tabs>
        <w:ind w:left="4140" w:hanging="360"/>
      </w:pPr>
      <w:rPr>
        <w:rFonts w:ascii="Courier New" w:hAnsi="Courier New" w:cs="Courier New" w:hint="default"/>
      </w:rPr>
    </w:lvl>
    <w:lvl w:ilvl="8" w:tplc="0C090005" w:tentative="1">
      <w:start w:val="1"/>
      <w:numFmt w:val="bullet"/>
      <w:lvlText w:val=""/>
      <w:lvlJc w:val="left"/>
      <w:pPr>
        <w:tabs>
          <w:tab w:val="num" w:pos="4860"/>
        </w:tabs>
        <w:ind w:left="4860" w:hanging="360"/>
      </w:pPr>
      <w:rPr>
        <w:rFonts w:ascii="Wingdings" w:hAnsi="Wingdings" w:hint="default"/>
      </w:rPr>
    </w:lvl>
  </w:abstractNum>
  <w:abstractNum w:abstractNumId="52">
    <w:nsid w:val="7AAD00E1"/>
    <w:multiLevelType w:val="multilevel"/>
    <w:tmpl w:val="C0C85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1"/>
  </w:num>
  <w:num w:numId="3">
    <w:abstractNumId w:val="25"/>
  </w:num>
  <w:num w:numId="4">
    <w:abstractNumId w:val="35"/>
  </w:num>
  <w:num w:numId="5">
    <w:abstractNumId w:val="20"/>
  </w:num>
  <w:num w:numId="6">
    <w:abstractNumId w:val="20"/>
  </w:num>
  <w:num w:numId="7">
    <w:abstractNumId w:val="20"/>
  </w:num>
  <w:num w:numId="8">
    <w:abstractNumId w:val="49"/>
  </w:num>
  <w:num w:numId="9">
    <w:abstractNumId w:val="41"/>
  </w:num>
  <w:num w:numId="10">
    <w:abstractNumId w:val="16"/>
  </w:num>
  <w:num w:numId="11">
    <w:abstractNumId w:val="43"/>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4"/>
  </w:num>
  <w:num w:numId="23">
    <w:abstractNumId w:val="38"/>
  </w:num>
  <w:num w:numId="24">
    <w:abstractNumId w:val="40"/>
  </w:num>
  <w:num w:numId="25">
    <w:abstractNumId w:val="22"/>
  </w:num>
  <w:num w:numId="26">
    <w:abstractNumId w:val="33"/>
  </w:num>
  <w:num w:numId="27">
    <w:abstractNumId w:val="10"/>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13"/>
  </w:num>
  <w:num w:numId="31">
    <w:abstractNumId w:val="44"/>
  </w:num>
  <w:num w:numId="32">
    <w:abstractNumId w:val="19"/>
  </w:num>
  <w:num w:numId="33">
    <w:abstractNumId w:val="14"/>
  </w:num>
  <w:num w:numId="34">
    <w:abstractNumId w:val="37"/>
  </w:num>
  <w:num w:numId="35">
    <w:abstractNumId w:val="17"/>
  </w:num>
  <w:num w:numId="36">
    <w:abstractNumId w:val="31"/>
  </w:num>
  <w:num w:numId="37">
    <w:abstractNumId w:val="28"/>
  </w:num>
  <w:num w:numId="38">
    <w:abstractNumId w:val="23"/>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num>
  <w:num w:numId="41">
    <w:abstractNumId w:val="42"/>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23"/>
  </w:num>
  <w:num w:numId="45">
    <w:abstractNumId w:val="12"/>
  </w:num>
  <w:num w:numId="46">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num>
  <w:num w:numId="48">
    <w:abstractNumId w:val="23"/>
  </w:num>
  <w:num w:numId="49">
    <w:abstractNumId w:val="23"/>
  </w:num>
  <w:num w:numId="50">
    <w:abstractNumId w:val="23"/>
  </w:num>
  <w:num w:numId="51">
    <w:abstractNumId w:val="18"/>
  </w:num>
  <w:num w:numId="52">
    <w:abstractNumId w:val="51"/>
  </w:num>
  <w:num w:numId="53">
    <w:abstractNumId w:val="23"/>
  </w:num>
  <w:num w:numId="54">
    <w:abstractNumId w:val="50"/>
  </w:num>
  <w:num w:numId="55">
    <w:abstractNumId w:val="23"/>
  </w:num>
  <w:num w:numId="56">
    <w:abstractNumId w:val="46"/>
  </w:num>
  <w:num w:numId="57">
    <w:abstractNumId w:val="47"/>
  </w:num>
  <w:num w:numId="58">
    <w:abstractNumId w:val="23"/>
  </w:num>
  <w:num w:numId="59">
    <w:abstractNumId w:val="23"/>
  </w:num>
  <w:num w:numId="60">
    <w:abstractNumId w:val="23"/>
  </w:num>
  <w:num w:numId="61">
    <w:abstractNumId w:val="27"/>
  </w:num>
  <w:num w:numId="62">
    <w:abstractNumId w:val="23"/>
  </w:num>
  <w:num w:numId="63">
    <w:abstractNumId w:val="23"/>
  </w:num>
  <w:num w:numId="64">
    <w:abstractNumId w:val="52"/>
  </w:num>
  <w:num w:numId="65">
    <w:abstractNumId w:val="23"/>
  </w:num>
  <w:num w:numId="66">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3"/>
  </w:num>
  <w:num w:numId="68">
    <w:abstractNumId w:val="2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61A"/>
    <w:rsid w:val="0000022B"/>
    <w:rsid w:val="00000EA9"/>
    <w:rsid w:val="00001BBF"/>
    <w:rsid w:val="000022DC"/>
    <w:rsid w:val="000238FD"/>
    <w:rsid w:val="000244A3"/>
    <w:rsid w:val="00024E7F"/>
    <w:rsid w:val="00026601"/>
    <w:rsid w:val="00026ACF"/>
    <w:rsid w:val="0003150E"/>
    <w:rsid w:val="000317CC"/>
    <w:rsid w:val="00031C51"/>
    <w:rsid w:val="00040A45"/>
    <w:rsid w:val="00040CA1"/>
    <w:rsid w:val="00040E57"/>
    <w:rsid w:val="00043040"/>
    <w:rsid w:val="00051EAA"/>
    <w:rsid w:val="000558EA"/>
    <w:rsid w:val="00070C28"/>
    <w:rsid w:val="00080F3E"/>
    <w:rsid w:val="000A00E2"/>
    <w:rsid w:val="000A156D"/>
    <w:rsid w:val="000A1AEA"/>
    <w:rsid w:val="000A65C6"/>
    <w:rsid w:val="000A7D01"/>
    <w:rsid w:val="000B2D5A"/>
    <w:rsid w:val="000B40F5"/>
    <w:rsid w:val="000B42EA"/>
    <w:rsid w:val="000B60C7"/>
    <w:rsid w:val="000B73E1"/>
    <w:rsid w:val="000B7F0F"/>
    <w:rsid w:val="000C0B1E"/>
    <w:rsid w:val="000C340F"/>
    <w:rsid w:val="000C54D7"/>
    <w:rsid w:val="000D0CDE"/>
    <w:rsid w:val="000D484F"/>
    <w:rsid w:val="000D584B"/>
    <w:rsid w:val="000D6C12"/>
    <w:rsid w:val="000D7BE1"/>
    <w:rsid w:val="000D7F7C"/>
    <w:rsid w:val="000E245A"/>
    <w:rsid w:val="000E5372"/>
    <w:rsid w:val="000F056E"/>
    <w:rsid w:val="000F294D"/>
    <w:rsid w:val="000F6CB4"/>
    <w:rsid w:val="000F6E1F"/>
    <w:rsid w:val="000F7AB7"/>
    <w:rsid w:val="00103ED5"/>
    <w:rsid w:val="0010542F"/>
    <w:rsid w:val="00114EA7"/>
    <w:rsid w:val="00117032"/>
    <w:rsid w:val="00121C57"/>
    <w:rsid w:val="00122EEC"/>
    <w:rsid w:val="001269C7"/>
    <w:rsid w:val="001302B6"/>
    <w:rsid w:val="001334B0"/>
    <w:rsid w:val="00133C71"/>
    <w:rsid w:val="0013419E"/>
    <w:rsid w:val="00136847"/>
    <w:rsid w:val="00137D56"/>
    <w:rsid w:val="00141A3B"/>
    <w:rsid w:val="00150E76"/>
    <w:rsid w:val="0015391E"/>
    <w:rsid w:val="001544AD"/>
    <w:rsid w:val="001669F2"/>
    <w:rsid w:val="00170010"/>
    <w:rsid w:val="0017035F"/>
    <w:rsid w:val="00173423"/>
    <w:rsid w:val="00173BD7"/>
    <w:rsid w:val="00174011"/>
    <w:rsid w:val="001846BB"/>
    <w:rsid w:val="00184AA1"/>
    <w:rsid w:val="0018728C"/>
    <w:rsid w:val="00187558"/>
    <w:rsid w:val="001878E3"/>
    <w:rsid w:val="001A405C"/>
    <w:rsid w:val="001B23FC"/>
    <w:rsid w:val="001B5AD1"/>
    <w:rsid w:val="001C327F"/>
    <w:rsid w:val="001C3C62"/>
    <w:rsid w:val="001C47B7"/>
    <w:rsid w:val="001C6BAF"/>
    <w:rsid w:val="001D2073"/>
    <w:rsid w:val="001D7155"/>
    <w:rsid w:val="001E1508"/>
    <w:rsid w:val="001E1D60"/>
    <w:rsid w:val="001E3C34"/>
    <w:rsid w:val="001E3F05"/>
    <w:rsid w:val="001E6D94"/>
    <w:rsid w:val="001F08D2"/>
    <w:rsid w:val="001F7790"/>
    <w:rsid w:val="0020297E"/>
    <w:rsid w:val="00207C01"/>
    <w:rsid w:val="00210835"/>
    <w:rsid w:val="00211356"/>
    <w:rsid w:val="00215514"/>
    <w:rsid w:val="002158D2"/>
    <w:rsid w:val="00215CCC"/>
    <w:rsid w:val="00220342"/>
    <w:rsid w:val="00222207"/>
    <w:rsid w:val="00223840"/>
    <w:rsid w:val="00224A32"/>
    <w:rsid w:val="00226525"/>
    <w:rsid w:val="0023015D"/>
    <w:rsid w:val="00235057"/>
    <w:rsid w:val="002371CE"/>
    <w:rsid w:val="00241899"/>
    <w:rsid w:val="002431E9"/>
    <w:rsid w:val="00245CA3"/>
    <w:rsid w:val="0024748B"/>
    <w:rsid w:val="0024783B"/>
    <w:rsid w:val="002503B3"/>
    <w:rsid w:val="00257719"/>
    <w:rsid w:val="00260BA1"/>
    <w:rsid w:val="0026129E"/>
    <w:rsid w:val="00264839"/>
    <w:rsid w:val="00265879"/>
    <w:rsid w:val="00266ADF"/>
    <w:rsid w:val="00266DF3"/>
    <w:rsid w:val="00273662"/>
    <w:rsid w:val="0027479E"/>
    <w:rsid w:val="00285298"/>
    <w:rsid w:val="002866BC"/>
    <w:rsid w:val="0028717D"/>
    <w:rsid w:val="00290D45"/>
    <w:rsid w:val="00293687"/>
    <w:rsid w:val="002974BA"/>
    <w:rsid w:val="002A213D"/>
    <w:rsid w:val="002A2C88"/>
    <w:rsid w:val="002A696F"/>
    <w:rsid w:val="002B030F"/>
    <w:rsid w:val="002B26AD"/>
    <w:rsid w:val="002B26FD"/>
    <w:rsid w:val="002B3A5C"/>
    <w:rsid w:val="002C071A"/>
    <w:rsid w:val="002C3FCA"/>
    <w:rsid w:val="002C621A"/>
    <w:rsid w:val="002D512D"/>
    <w:rsid w:val="002D5C85"/>
    <w:rsid w:val="002E7996"/>
    <w:rsid w:val="002F382C"/>
    <w:rsid w:val="002F4B48"/>
    <w:rsid w:val="00300CAF"/>
    <w:rsid w:val="00302A09"/>
    <w:rsid w:val="00302A2E"/>
    <w:rsid w:val="00306CD1"/>
    <w:rsid w:val="0030797F"/>
    <w:rsid w:val="003152E7"/>
    <w:rsid w:val="0031535D"/>
    <w:rsid w:val="00321E83"/>
    <w:rsid w:val="00322D73"/>
    <w:rsid w:val="003242AC"/>
    <w:rsid w:val="00325B0D"/>
    <w:rsid w:val="00327454"/>
    <w:rsid w:val="00330EAA"/>
    <w:rsid w:val="0033172C"/>
    <w:rsid w:val="00337DED"/>
    <w:rsid w:val="00341ECB"/>
    <w:rsid w:val="003462E5"/>
    <w:rsid w:val="00353C0A"/>
    <w:rsid w:val="00354FDA"/>
    <w:rsid w:val="00355C34"/>
    <w:rsid w:val="00357539"/>
    <w:rsid w:val="00357E2F"/>
    <w:rsid w:val="00357F61"/>
    <w:rsid w:val="0036230C"/>
    <w:rsid w:val="00371A2D"/>
    <w:rsid w:val="00376FF4"/>
    <w:rsid w:val="00384C04"/>
    <w:rsid w:val="003905F8"/>
    <w:rsid w:val="003A14B5"/>
    <w:rsid w:val="003A1535"/>
    <w:rsid w:val="003A44FA"/>
    <w:rsid w:val="003B0800"/>
    <w:rsid w:val="003B111A"/>
    <w:rsid w:val="003B17B7"/>
    <w:rsid w:val="003B2E6E"/>
    <w:rsid w:val="003B306A"/>
    <w:rsid w:val="003B51EB"/>
    <w:rsid w:val="003C0595"/>
    <w:rsid w:val="003C30B1"/>
    <w:rsid w:val="003E0603"/>
    <w:rsid w:val="003E41D0"/>
    <w:rsid w:val="003E4CF9"/>
    <w:rsid w:val="003E59A2"/>
    <w:rsid w:val="003F2338"/>
    <w:rsid w:val="003F2B32"/>
    <w:rsid w:val="003F37ED"/>
    <w:rsid w:val="004000ED"/>
    <w:rsid w:val="004022D0"/>
    <w:rsid w:val="00404C63"/>
    <w:rsid w:val="00412683"/>
    <w:rsid w:val="004134C3"/>
    <w:rsid w:val="004136EC"/>
    <w:rsid w:val="00413749"/>
    <w:rsid w:val="00414299"/>
    <w:rsid w:val="00417E28"/>
    <w:rsid w:val="00433B24"/>
    <w:rsid w:val="00434907"/>
    <w:rsid w:val="00434A22"/>
    <w:rsid w:val="004371E2"/>
    <w:rsid w:val="00437E9B"/>
    <w:rsid w:val="004411E4"/>
    <w:rsid w:val="00444120"/>
    <w:rsid w:val="004446CB"/>
    <w:rsid w:val="00446FFB"/>
    <w:rsid w:val="004472D9"/>
    <w:rsid w:val="004500BC"/>
    <w:rsid w:val="00450FE3"/>
    <w:rsid w:val="00461621"/>
    <w:rsid w:val="00463F7A"/>
    <w:rsid w:val="00467ECC"/>
    <w:rsid w:val="00471F42"/>
    <w:rsid w:val="00472746"/>
    <w:rsid w:val="0047589C"/>
    <w:rsid w:val="00490DB4"/>
    <w:rsid w:val="00493AC6"/>
    <w:rsid w:val="004A1773"/>
    <w:rsid w:val="004A1885"/>
    <w:rsid w:val="004A271F"/>
    <w:rsid w:val="004A2987"/>
    <w:rsid w:val="004A29D1"/>
    <w:rsid w:val="004B2A81"/>
    <w:rsid w:val="004B61B6"/>
    <w:rsid w:val="004B7FDF"/>
    <w:rsid w:val="004C4C2E"/>
    <w:rsid w:val="004D00C3"/>
    <w:rsid w:val="004E37A7"/>
    <w:rsid w:val="004E6DA3"/>
    <w:rsid w:val="004E7E9F"/>
    <w:rsid w:val="004F06EF"/>
    <w:rsid w:val="004F1062"/>
    <w:rsid w:val="004F1317"/>
    <w:rsid w:val="004F20BC"/>
    <w:rsid w:val="004F23B2"/>
    <w:rsid w:val="004F2A4B"/>
    <w:rsid w:val="005014F2"/>
    <w:rsid w:val="0051103F"/>
    <w:rsid w:val="00514FD5"/>
    <w:rsid w:val="00524943"/>
    <w:rsid w:val="0052690F"/>
    <w:rsid w:val="00527121"/>
    <w:rsid w:val="00533CC5"/>
    <w:rsid w:val="0053798B"/>
    <w:rsid w:val="00543CBA"/>
    <w:rsid w:val="005613A7"/>
    <w:rsid w:val="005644EB"/>
    <w:rsid w:val="0056744E"/>
    <w:rsid w:val="00571A84"/>
    <w:rsid w:val="00573010"/>
    <w:rsid w:val="00574445"/>
    <w:rsid w:val="00581047"/>
    <w:rsid w:val="00581F90"/>
    <w:rsid w:val="005846A9"/>
    <w:rsid w:val="005902B1"/>
    <w:rsid w:val="00591D14"/>
    <w:rsid w:val="00592F23"/>
    <w:rsid w:val="00596C01"/>
    <w:rsid w:val="00597BB8"/>
    <w:rsid w:val="005B0975"/>
    <w:rsid w:val="005B1877"/>
    <w:rsid w:val="005B1DED"/>
    <w:rsid w:val="005B2C88"/>
    <w:rsid w:val="005B3236"/>
    <w:rsid w:val="005B4836"/>
    <w:rsid w:val="005B4F38"/>
    <w:rsid w:val="005B5E16"/>
    <w:rsid w:val="005C1A2B"/>
    <w:rsid w:val="005C2051"/>
    <w:rsid w:val="005C2F82"/>
    <w:rsid w:val="005C50B1"/>
    <w:rsid w:val="005C5238"/>
    <w:rsid w:val="005D7FC9"/>
    <w:rsid w:val="005E0729"/>
    <w:rsid w:val="005E1EA3"/>
    <w:rsid w:val="005E76C1"/>
    <w:rsid w:val="005F15FE"/>
    <w:rsid w:val="005F2657"/>
    <w:rsid w:val="006046BE"/>
    <w:rsid w:val="00605BC9"/>
    <w:rsid w:val="006151E6"/>
    <w:rsid w:val="00615863"/>
    <w:rsid w:val="00617A3E"/>
    <w:rsid w:val="0062161A"/>
    <w:rsid w:val="00621A00"/>
    <w:rsid w:val="006220EC"/>
    <w:rsid w:val="00626570"/>
    <w:rsid w:val="006314F9"/>
    <w:rsid w:val="006330B5"/>
    <w:rsid w:val="00633457"/>
    <w:rsid w:val="00635272"/>
    <w:rsid w:val="00637494"/>
    <w:rsid w:val="00637BE2"/>
    <w:rsid w:val="0064684B"/>
    <w:rsid w:val="00651F8E"/>
    <w:rsid w:val="006532F6"/>
    <w:rsid w:val="00654492"/>
    <w:rsid w:val="00654787"/>
    <w:rsid w:val="00655700"/>
    <w:rsid w:val="00657B16"/>
    <w:rsid w:val="00660CB1"/>
    <w:rsid w:val="00670CC3"/>
    <w:rsid w:val="0067218F"/>
    <w:rsid w:val="00673859"/>
    <w:rsid w:val="00675D9D"/>
    <w:rsid w:val="00676BDE"/>
    <w:rsid w:val="00680AB2"/>
    <w:rsid w:val="006810E6"/>
    <w:rsid w:val="006845EF"/>
    <w:rsid w:val="006A03C7"/>
    <w:rsid w:val="006A097A"/>
    <w:rsid w:val="006A787E"/>
    <w:rsid w:val="006D29A2"/>
    <w:rsid w:val="006D2E19"/>
    <w:rsid w:val="006D5A4F"/>
    <w:rsid w:val="006D5E2E"/>
    <w:rsid w:val="006D7BF4"/>
    <w:rsid w:val="006E108D"/>
    <w:rsid w:val="006E1873"/>
    <w:rsid w:val="006E1AC9"/>
    <w:rsid w:val="006F2C5D"/>
    <w:rsid w:val="006F4D07"/>
    <w:rsid w:val="0070075B"/>
    <w:rsid w:val="0070340F"/>
    <w:rsid w:val="00705D47"/>
    <w:rsid w:val="00711623"/>
    <w:rsid w:val="007132A9"/>
    <w:rsid w:val="00713F3D"/>
    <w:rsid w:val="00733BF5"/>
    <w:rsid w:val="007469DA"/>
    <w:rsid w:val="00750D59"/>
    <w:rsid w:val="00750FD4"/>
    <w:rsid w:val="007645E4"/>
    <w:rsid w:val="00766182"/>
    <w:rsid w:val="00771263"/>
    <w:rsid w:val="00774268"/>
    <w:rsid w:val="0077523B"/>
    <w:rsid w:val="007802CA"/>
    <w:rsid w:val="007833B6"/>
    <w:rsid w:val="007848F0"/>
    <w:rsid w:val="00791CB9"/>
    <w:rsid w:val="00793C17"/>
    <w:rsid w:val="007A2EA9"/>
    <w:rsid w:val="007A7C16"/>
    <w:rsid w:val="007B6603"/>
    <w:rsid w:val="007C2061"/>
    <w:rsid w:val="007C2216"/>
    <w:rsid w:val="007C7378"/>
    <w:rsid w:val="007D08F3"/>
    <w:rsid w:val="007D2A9B"/>
    <w:rsid w:val="007D3EC4"/>
    <w:rsid w:val="007D6641"/>
    <w:rsid w:val="007D7EE1"/>
    <w:rsid w:val="007E042B"/>
    <w:rsid w:val="007E1908"/>
    <w:rsid w:val="007E4127"/>
    <w:rsid w:val="007F2E06"/>
    <w:rsid w:val="007F3D19"/>
    <w:rsid w:val="007F41D0"/>
    <w:rsid w:val="007F4EE7"/>
    <w:rsid w:val="007F5361"/>
    <w:rsid w:val="00802065"/>
    <w:rsid w:val="00804935"/>
    <w:rsid w:val="00811ED7"/>
    <w:rsid w:val="00814BF3"/>
    <w:rsid w:val="00821EDE"/>
    <w:rsid w:val="00823DDB"/>
    <w:rsid w:val="00823E02"/>
    <w:rsid w:val="00827252"/>
    <w:rsid w:val="008274DF"/>
    <w:rsid w:val="008316F1"/>
    <w:rsid w:val="00833E4F"/>
    <w:rsid w:val="00837512"/>
    <w:rsid w:val="00843726"/>
    <w:rsid w:val="00843CF1"/>
    <w:rsid w:val="00847005"/>
    <w:rsid w:val="008523BB"/>
    <w:rsid w:val="00855060"/>
    <w:rsid w:val="008555C1"/>
    <w:rsid w:val="008567B4"/>
    <w:rsid w:val="00865A65"/>
    <w:rsid w:val="00865B86"/>
    <w:rsid w:val="00865D28"/>
    <w:rsid w:val="00866F9A"/>
    <w:rsid w:val="00867081"/>
    <w:rsid w:val="008717A6"/>
    <w:rsid w:val="008758C9"/>
    <w:rsid w:val="00875FCA"/>
    <w:rsid w:val="00880F17"/>
    <w:rsid w:val="00880F8C"/>
    <w:rsid w:val="008818CD"/>
    <w:rsid w:val="00885262"/>
    <w:rsid w:val="0089188A"/>
    <w:rsid w:val="008A069E"/>
    <w:rsid w:val="008B1A6E"/>
    <w:rsid w:val="008B4088"/>
    <w:rsid w:val="008B40D2"/>
    <w:rsid w:val="008D061D"/>
    <w:rsid w:val="008D3147"/>
    <w:rsid w:val="008D3687"/>
    <w:rsid w:val="008D5EF0"/>
    <w:rsid w:val="008D6825"/>
    <w:rsid w:val="008E209F"/>
    <w:rsid w:val="008E61E8"/>
    <w:rsid w:val="008E6C24"/>
    <w:rsid w:val="008F36AA"/>
    <w:rsid w:val="008F5CE2"/>
    <w:rsid w:val="008F618C"/>
    <w:rsid w:val="008F75B1"/>
    <w:rsid w:val="00900AC0"/>
    <w:rsid w:val="009050C1"/>
    <w:rsid w:val="00912B18"/>
    <w:rsid w:val="009145F7"/>
    <w:rsid w:val="00915E77"/>
    <w:rsid w:val="00920904"/>
    <w:rsid w:val="00921CA8"/>
    <w:rsid w:val="009261BB"/>
    <w:rsid w:val="0093244F"/>
    <w:rsid w:val="0093584A"/>
    <w:rsid w:val="009505D0"/>
    <w:rsid w:val="00951CD4"/>
    <w:rsid w:val="00952A29"/>
    <w:rsid w:val="00954449"/>
    <w:rsid w:val="009544F1"/>
    <w:rsid w:val="0095511D"/>
    <w:rsid w:val="00956FCB"/>
    <w:rsid w:val="0096039D"/>
    <w:rsid w:val="00960FF2"/>
    <w:rsid w:val="0096122D"/>
    <w:rsid w:val="009634E5"/>
    <w:rsid w:val="00963CB6"/>
    <w:rsid w:val="00963E0D"/>
    <w:rsid w:val="009649BA"/>
    <w:rsid w:val="00965CAF"/>
    <w:rsid w:val="00966296"/>
    <w:rsid w:val="009700F0"/>
    <w:rsid w:val="00970479"/>
    <w:rsid w:val="009758DE"/>
    <w:rsid w:val="0098171B"/>
    <w:rsid w:val="0098252F"/>
    <w:rsid w:val="00983B00"/>
    <w:rsid w:val="00984795"/>
    <w:rsid w:val="00987D8B"/>
    <w:rsid w:val="009916EE"/>
    <w:rsid w:val="00993F25"/>
    <w:rsid w:val="009A31AC"/>
    <w:rsid w:val="009A522B"/>
    <w:rsid w:val="009B2572"/>
    <w:rsid w:val="009B47BF"/>
    <w:rsid w:val="009B5F96"/>
    <w:rsid w:val="009B7A72"/>
    <w:rsid w:val="009C0106"/>
    <w:rsid w:val="009C1760"/>
    <w:rsid w:val="009C3B21"/>
    <w:rsid w:val="009C733D"/>
    <w:rsid w:val="009D0065"/>
    <w:rsid w:val="009D3613"/>
    <w:rsid w:val="009E172B"/>
    <w:rsid w:val="009E20F5"/>
    <w:rsid w:val="009E4852"/>
    <w:rsid w:val="009E5823"/>
    <w:rsid w:val="009E7C5E"/>
    <w:rsid w:val="009F1BFA"/>
    <w:rsid w:val="009F2305"/>
    <w:rsid w:val="009F2A8B"/>
    <w:rsid w:val="009F3FB1"/>
    <w:rsid w:val="00A00CE5"/>
    <w:rsid w:val="00A00D13"/>
    <w:rsid w:val="00A06870"/>
    <w:rsid w:val="00A116A5"/>
    <w:rsid w:val="00A12B2E"/>
    <w:rsid w:val="00A243FB"/>
    <w:rsid w:val="00A33FA2"/>
    <w:rsid w:val="00A34318"/>
    <w:rsid w:val="00A349D1"/>
    <w:rsid w:val="00A35BDA"/>
    <w:rsid w:val="00A37B22"/>
    <w:rsid w:val="00A37F80"/>
    <w:rsid w:val="00A40178"/>
    <w:rsid w:val="00A443E9"/>
    <w:rsid w:val="00A46393"/>
    <w:rsid w:val="00A53CD3"/>
    <w:rsid w:val="00A54001"/>
    <w:rsid w:val="00A562C9"/>
    <w:rsid w:val="00A612AC"/>
    <w:rsid w:val="00A63B52"/>
    <w:rsid w:val="00A640C3"/>
    <w:rsid w:val="00A6725E"/>
    <w:rsid w:val="00A67BE4"/>
    <w:rsid w:val="00A70D1D"/>
    <w:rsid w:val="00A74D4A"/>
    <w:rsid w:val="00A750EF"/>
    <w:rsid w:val="00A8184B"/>
    <w:rsid w:val="00A824DE"/>
    <w:rsid w:val="00A8284B"/>
    <w:rsid w:val="00A82D8D"/>
    <w:rsid w:val="00A848EC"/>
    <w:rsid w:val="00A912A3"/>
    <w:rsid w:val="00A92E4A"/>
    <w:rsid w:val="00AA344A"/>
    <w:rsid w:val="00AA67FF"/>
    <w:rsid w:val="00AB5DB5"/>
    <w:rsid w:val="00AC26FE"/>
    <w:rsid w:val="00AC5177"/>
    <w:rsid w:val="00AD1E3E"/>
    <w:rsid w:val="00AD2215"/>
    <w:rsid w:val="00AD3FAB"/>
    <w:rsid w:val="00AE5BA2"/>
    <w:rsid w:val="00AE6648"/>
    <w:rsid w:val="00AF0CB9"/>
    <w:rsid w:val="00AF4F24"/>
    <w:rsid w:val="00AF5617"/>
    <w:rsid w:val="00B07CE5"/>
    <w:rsid w:val="00B15266"/>
    <w:rsid w:val="00B162FF"/>
    <w:rsid w:val="00B16AF1"/>
    <w:rsid w:val="00B17575"/>
    <w:rsid w:val="00B2607D"/>
    <w:rsid w:val="00B31D19"/>
    <w:rsid w:val="00B32D5D"/>
    <w:rsid w:val="00B37370"/>
    <w:rsid w:val="00B41FEC"/>
    <w:rsid w:val="00B56108"/>
    <w:rsid w:val="00B578B5"/>
    <w:rsid w:val="00B60756"/>
    <w:rsid w:val="00B628CE"/>
    <w:rsid w:val="00B62C9C"/>
    <w:rsid w:val="00B67BAB"/>
    <w:rsid w:val="00B7352C"/>
    <w:rsid w:val="00B7440C"/>
    <w:rsid w:val="00B754E4"/>
    <w:rsid w:val="00B75F26"/>
    <w:rsid w:val="00B76C7B"/>
    <w:rsid w:val="00B76F28"/>
    <w:rsid w:val="00B834AD"/>
    <w:rsid w:val="00B84934"/>
    <w:rsid w:val="00B8587B"/>
    <w:rsid w:val="00B86367"/>
    <w:rsid w:val="00B8755C"/>
    <w:rsid w:val="00B90BA1"/>
    <w:rsid w:val="00B92BF2"/>
    <w:rsid w:val="00B94CBC"/>
    <w:rsid w:val="00B95025"/>
    <w:rsid w:val="00B96AA4"/>
    <w:rsid w:val="00B97016"/>
    <w:rsid w:val="00BA020B"/>
    <w:rsid w:val="00BA0E8E"/>
    <w:rsid w:val="00BA5B23"/>
    <w:rsid w:val="00BB0417"/>
    <w:rsid w:val="00BB0CAC"/>
    <w:rsid w:val="00BB11D2"/>
    <w:rsid w:val="00BB28EF"/>
    <w:rsid w:val="00BB3FB8"/>
    <w:rsid w:val="00BB4EC0"/>
    <w:rsid w:val="00BC001E"/>
    <w:rsid w:val="00BC1AD9"/>
    <w:rsid w:val="00BC262B"/>
    <w:rsid w:val="00BD2513"/>
    <w:rsid w:val="00BD28C3"/>
    <w:rsid w:val="00BD4D4E"/>
    <w:rsid w:val="00BD533D"/>
    <w:rsid w:val="00BD7BE1"/>
    <w:rsid w:val="00BE4960"/>
    <w:rsid w:val="00BE7A3B"/>
    <w:rsid w:val="00BF1BAB"/>
    <w:rsid w:val="00BF377C"/>
    <w:rsid w:val="00BF3D6A"/>
    <w:rsid w:val="00BF3E99"/>
    <w:rsid w:val="00C00ACA"/>
    <w:rsid w:val="00C065F0"/>
    <w:rsid w:val="00C0665C"/>
    <w:rsid w:val="00C12245"/>
    <w:rsid w:val="00C127CC"/>
    <w:rsid w:val="00C202F2"/>
    <w:rsid w:val="00C20764"/>
    <w:rsid w:val="00C22311"/>
    <w:rsid w:val="00C23D50"/>
    <w:rsid w:val="00C2530A"/>
    <w:rsid w:val="00C35734"/>
    <w:rsid w:val="00C35D2C"/>
    <w:rsid w:val="00C43130"/>
    <w:rsid w:val="00C44C64"/>
    <w:rsid w:val="00C4773D"/>
    <w:rsid w:val="00C504F5"/>
    <w:rsid w:val="00C5603F"/>
    <w:rsid w:val="00C56669"/>
    <w:rsid w:val="00C573AF"/>
    <w:rsid w:val="00C60734"/>
    <w:rsid w:val="00C60A5C"/>
    <w:rsid w:val="00C613D0"/>
    <w:rsid w:val="00C62A9C"/>
    <w:rsid w:val="00C64467"/>
    <w:rsid w:val="00C6657C"/>
    <w:rsid w:val="00C6722C"/>
    <w:rsid w:val="00C907CC"/>
    <w:rsid w:val="00C912BD"/>
    <w:rsid w:val="00C92B8E"/>
    <w:rsid w:val="00C94DC5"/>
    <w:rsid w:val="00CA2482"/>
    <w:rsid w:val="00CA2588"/>
    <w:rsid w:val="00CA4F1A"/>
    <w:rsid w:val="00CA7B86"/>
    <w:rsid w:val="00CB058E"/>
    <w:rsid w:val="00CB5003"/>
    <w:rsid w:val="00CB51AC"/>
    <w:rsid w:val="00CB5602"/>
    <w:rsid w:val="00CC0296"/>
    <w:rsid w:val="00CC0E85"/>
    <w:rsid w:val="00CC3964"/>
    <w:rsid w:val="00CC5B52"/>
    <w:rsid w:val="00CD2003"/>
    <w:rsid w:val="00CD2986"/>
    <w:rsid w:val="00CD4BAD"/>
    <w:rsid w:val="00CD565E"/>
    <w:rsid w:val="00CD5A79"/>
    <w:rsid w:val="00CD74D6"/>
    <w:rsid w:val="00CE17E0"/>
    <w:rsid w:val="00CE2E40"/>
    <w:rsid w:val="00CF2175"/>
    <w:rsid w:val="00CF2215"/>
    <w:rsid w:val="00CF2A24"/>
    <w:rsid w:val="00CF4FA0"/>
    <w:rsid w:val="00CF6DC8"/>
    <w:rsid w:val="00CF7B81"/>
    <w:rsid w:val="00D005C9"/>
    <w:rsid w:val="00D013B7"/>
    <w:rsid w:val="00D01B1D"/>
    <w:rsid w:val="00D03180"/>
    <w:rsid w:val="00D07D7D"/>
    <w:rsid w:val="00D10A6F"/>
    <w:rsid w:val="00D16092"/>
    <w:rsid w:val="00D20CFE"/>
    <w:rsid w:val="00D21906"/>
    <w:rsid w:val="00D22C55"/>
    <w:rsid w:val="00D26751"/>
    <w:rsid w:val="00D30E58"/>
    <w:rsid w:val="00D33831"/>
    <w:rsid w:val="00D3619B"/>
    <w:rsid w:val="00D41CF9"/>
    <w:rsid w:val="00D44FB3"/>
    <w:rsid w:val="00D548B3"/>
    <w:rsid w:val="00D609F1"/>
    <w:rsid w:val="00D62C91"/>
    <w:rsid w:val="00D62E52"/>
    <w:rsid w:val="00D632B4"/>
    <w:rsid w:val="00D63799"/>
    <w:rsid w:val="00D75131"/>
    <w:rsid w:val="00D75A42"/>
    <w:rsid w:val="00D761F2"/>
    <w:rsid w:val="00D82465"/>
    <w:rsid w:val="00D8281B"/>
    <w:rsid w:val="00D843F9"/>
    <w:rsid w:val="00D87BD3"/>
    <w:rsid w:val="00D90CE0"/>
    <w:rsid w:val="00D92D34"/>
    <w:rsid w:val="00D9601E"/>
    <w:rsid w:val="00D9730D"/>
    <w:rsid w:val="00DA28D7"/>
    <w:rsid w:val="00DA6CCF"/>
    <w:rsid w:val="00DA7B1F"/>
    <w:rsid w:val="00DB5E60"/>
    <w:rsid w:val="00DB5EA2"/>
    <w:rsid w:val="00DD7BC6"/>
    <w:rsid w:val="00DE2942"/>
    <w:rsid w:val="00DE56B6"/>
    <w:rsid w:val="00DF1323"/>
    <w:rsid w:val="00DF304A"/>
    <w:rsid w:val="00DF3F1A"/>
    <w:rsid w:val="00DF4450"/>
    <w:rsid w:val="00DF5236"/>
    <w:rsid w:val="00DF5587"/>
    <w:rsid w:val="00E07913"/>
    <w:rsid w:val="00E12BE6"/>
    <w:rsid w:val="00E14DDD"/>
    <w:rsid w:val="00E204B9"/>
    <w:rsid w:val="00E21FC7"/>
    <w:rsid w:val="00E35288"/>
    <w:rsid w:val="00E42617"/>
    <w:rsid w:val="00E459C5"/>
    <w:rsid w:val="00E51660"/>
    <w:rsid w:val="00E5298E"/>
    <w:rsid w:val="00E547D0"/>
    <w:rsid w:val="00E605A5"/>
    <w:rsid w:val="00E70F5F"/>
    <w:rsid w:val="00E71862"/>
    <w:rsid w:val="00E72E98"/>
    <w:rsid w:val="00E73111"/>
    <w:rsid w:val="00E75769"/>
    <w:rsid w:val="00E85C7B"/>
    <w:rsid w:val="00E91EB5"/>
    <w:rsid w:val="00E92463"/>
    <w:rsid w:val="00E95671"/>
    <w:rsid w:val="00E95A02"/>
    <w:rsid w:val="00EA353F"/>
    <w:rsid w:val="00EA3F75"/>
    <w:rsid w:val="00EB2A00"/>
    <w:rsid w:val="00EC170F"/>
    <w:rsid w:val="00ED3327"/>
    <w:rsid w:val="00ED5892"/>
    <w:rsid w:val="00ED6620"/>
    <w:rsid w:val="00EE0BD6"/>
    <w:rsid w:val="00EE18ED"/>
    <w:rsid w:val="00EE26EA"/>
    <w:rsid w:val="00EE2F6F"/>
    <w:rsid w:val="00EE4E63"/>
    <w:rsid w:val="00EE51D0"/>
    <w:rsid w:val="00EE5F57"/>
    <w:rsid w:val="00EF3C9C"/>
    <w:rsid w:val="00EF78EF"/>
    <w:rsid w:val="00F02213"/>
    <w:rsid w:val="00F04C8D"/>
    <w:rsid w:val="00F069EC"/>
    <w:rsid w:val="00F07B9D"/>
    <w:rsid w:val="00F11927"/>
    <w:rsid w:val="00F12EFE"/>
    <w:rsid w:val="00F1341E"/>
    <w:rsid w:val="00F14B39"/>
    <w:rsid w:val="00F17C19"/>
    <w:rsid w:val="00F23607"/>
    <w:rsid w:val="00F26F3E"/>
    <w:rsid w:val="00F34239"/>
    <w:rsid w:val="00F42C79"/>
    <w:rsid w:val="00F44429"/>
    <w:rsid w:val="00F45A86"/>
    <w:rsid w:val="00F52602"/>
    <w:rsid w:val="00F6401F"/>
    <w:rsid w:val="00F640A6"/>
    <w:rsid w:val="00F656E8"/>
    <w:rsid w:val="00F6614A"/>
    <w:rsid w:val="00F66563"/>
    <w:rsid w:val="00F67E59"/>
    <w:rsid w:val="00F74F45"/>
    <w:rsid w:val="00F760BC"/>
    <w:rsid w:val="00F8272F"/>
    <w:rsid w:val="00F87384"/>
    <w:rsid w:val="00F90F65"/>
    <w:rsid w:val="00F94AF6"/>
    <w:rsid w:val="00F95E43"/>
    <w:rsid w:val="00F978A9"/>
    <w:rsid w:val="00FA2859"/>
    <w:rsid w:val="00FA29C1"/>
    <w:rsid w:val="00FA3123"/>
    <w:rsid w:val="00FA3EBA"/>
    <w:rsid w:val="00FA3F25"/>
    <w:rsid w:val="00FA46E5"/>
    <w:rsid w:val="00FB0355"/>
    <w:rsid w:val="00FB12B9"/>
    <w:rsid w:val="00FB674C"/>
    <w:rsid w:val="00FC2B46"/>
    <w:rsid w:val="00FC3B5D"/>
    <w:rsid w:val="00FC7C49"/>
    <w:rsid w:val="00FD0825"/>
    <w:rsid w:val="00FD1451"/>
    <w:rsid w:val="00FD2848"/>
    <w:rsid w:val="00FD31CE"/>
    <w:rsid w:val="00FD33E7"/>
    <w:rsid w:val="00FD4C4E"/>
    <w:rsid w:val="00FD6334"/>
    <w:rsid w:val="00FE6844"/>
    <w:rsid w:val="00FF2D11"/>
    <w:rsid w:val="00FF5C5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3DB9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caption" w:uiPriority="99" w:qFormat="1"/>
    <w:lsdException w:name="footnote reference" w:uiPriority="99"/>
    <w:lsdException w:name="annotation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161A"/>
    <w:pPr>
      <w:spacing w:after="240" w:line="280" w:lineRule="exact"/>
    </w:pPr>
    <w:rPr>
      <w:rFonts w:ascii="Book Antiqua" w:hAnsi="Book Antiqua"/>
      <w:color w:val="000000"/>
      <w:sz w:val="22"/>
    </w:rPr>
  </w:style>
  <w:style w:type="paragraph" w:styleId="Heading1">
    <w:name w:val="heading 1"/>
    <w:basedOn w:val="HeadingBase"/>
    <w:next w:val="Normal"/>
    <w:link w:val="Heading1Char"/>
    <w:uiPriority w:val="99"/>
    <w:qFormat/>
    <w:rsid w:val="00CD565E"/>
    <w:pPr>
      <w:spacing w:before="720" w:after="360"/>
      <w:outlineLvl w:val="0"/>
    </w:pPr>
    <w:rPr>
      <w:rFonts w:cs="Arial"/>
      <w:b/>
      <w:bCs/>
      <w:smallCaps/>
      <w:kern w:val="32"/>
      <w:sz w:val="36"/>
      <w:szCs w:val="36"/>
    </w:rPr>
  </w:style>
  <w:style w:type="paragraph" w:styleId="Heading2">
    <w:name w:val="heading 2"/>
    <w:basedOn w:val="HeadingBase"/>
    <w:next w:val="Normal"/>
    <w:link w:val="Heading2Char"/>
    <w:uiPriority w:val="99"/>
    <w:qFormat/>
    <w:rsid w:val="002A2C88"/>
    <w:pPr>
      <w:spacing w:before="360" w:after="180"/>
      <w:outlineLvl w:val="1"/>
    </w:pPr>
    <w:rPr>
      <w:rFonts w:cs="Arial"/>
      <w:b/>
      <w:bCs/>
      <w:iCs/>
      <w:smallCaps/>
      <w:sz w:val="28"/>
      <w:szCs w:val="28"/>
    </w:rPr>
  </w:style>
  <w:style w:type="paragraph" w:styleId="Heading3">
    <w:name w:val="heading 3"/>
    <w:basedOn w:val="HeadingBase"/>
    <w:next w:val="Normal"/>
    <w:link w:val="Heading3Char"/>
    <w:uiPriority w:val="99"/>
    <w:qFormat/>
    <w:rsid w:val="002A2C88"/>
    <w:pPr>
      <w:spacing w:before="240" w:after="120"/>
      <w:outlineLvl w:val="2"/>
    </w:pPr>
    <w:rPr>
      <w:rFonts w:cs="Arial"/>
      <w:b/>
      <w:bCs/>
      <w:sz w:val="26"/>
      <w:szCs w:val="26"/>
    </w:rPr>
  </w:style>
  <w:style w:type="paragraph" w:styleId="Heading4">
    <w:name w:val="heading 4"/>
    <w:basedOn w:val="HeadingBase"/>
    <w:next w:val="Normal"/>
    <w:qFormat/>
    <w:rsid w:val="007D08F3"/>
    <w:pPr>
      <w:spacing w:before="120" w:after="240"/>
      <w:outlineLvl w:val="3"/>
    </w:pPr>
    <w:rPr>
      <w:b/>
      <w:bCs/>
      <w:sz w:val="22"/>
      <w:szCs w:val="22"/>
    </w:rPr>
  </w:style>
  <w:style w:type="paragraph" w:styleId="Heading5">
    <w:name w:val="heading 5"/>
    <w:basedOn w:val="HeadingBase"/>
    <w:next w:val="Normal"/>
    <w:qFormat/>
    <w:rsid w:val="007D08F3"/>
    <w:pPr>
      <w:spacing w:after="120"/>
      <w:outlineLvl w:val="4"/>
    </w:pPr>
    <w:rPr>
      <w:b/>
      <w:bCs/>
      <w:iCs/>
    </w:rPr>
  </w:style>
  <w:style w:type="paragraph" w:styleId="Heading6">
    <w:name w:val="heading 6"/>
    <w:basedOn w:val="HeadingBase"/>
    <w:next w:val="Normal"/>
    <w:qFormat/>
    <w:rsid w:val="007D08F3"/>
    <w:pPr>
      <w:spacing w:after="120"/>
      <w:outlineLvl w:val="5"/>
    </w:pPr>
    <w:rPr>
      <w:bCs/>
      <w:szCs w:val="22"/>
    </w:rPr>
  </w:style>
  <w:style w:type="paragraph" w:styleId="Heading7">
    <w:name w:val="heading 7"/>
    <w:basedOn w:val="HeadingBase"/>
    <w:next w:val="Normal"/>
    <w:qFormat/>
    <w:rsid w:val="007D08F3"/>
    <w:pPr>
      <w:spacing w:after="120"/>
      <w:outlineLvl w:val="6"/>
    </w:pPr>
    <w:rPr>
      <w:szCs w:val="24"/>
    </w:rPr>
  </w:style>
  <w:style w:type="paragraph" w:styleId="Heading8">
    <w:name w:val="heading 8"/>
    <w:basedOn w:val="HeadingBase"/>
    <w:next w:val="Normal"/>
    <w:qFormat/>
    <w:rsid w:val="007D08F3"/>
    <w:pPr>
      <w:spacing w:after="120"/>
      <w:outlineLvl w:val="7"/>
    </w:pPr>
    <w:rPr>
      <w:iCs/>
      <w:szCs w:val="24"/>
    </w:rPr>
  </w:style>
  <w:style w:type="paragraph" w:styleId="Heading9">
    <w:name w:val="heading 9"/>
    <w:basedOn w:val="HeadingBase"/>
    <w:next w:val="Normal"/>
    <w:qFormat/>
    <w:rsid w:val="007D08F3"/>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7D08F3"/>
    <w:pPr>
      <w:spacing w:after="0"/>
    </w:pPr>
  </w:style>
  <w:style w:type="character" w:styleId="Hyperlink">
    <w:name w:val="Hyperlink"/>
    <w:basedOn w:val="DefaultParagraphFont"/>
    <w:uiPriority w:val="99"/>
    <w:rsid w:val="007D08F3"/>
    <w:rPr>
      <w:color w:val="auto"/>
      <w:u w:val="none"/>
    </w:rPr>
  </w:style>
  <w:style w:type="character" w:customStyle="1" w:styleId="BoldandItalic">
    <w:name w:val="Bold and Italic"/>
    <w:basedOn w:val="DefaultParagraphFont"/>
    <w:rsid w:val="007D08F3"/>
    <w:rPr>
      <w:rFonts w:ascii="Arial" w:hAnsi="Arial"/>
      <w:b/>
      <w:i/>
    </w:rPr>
  </w:style>
  <w:style w:type="table" w:styleId="TableGrid">
    <w:name w:val="Table Grid"/>
    <w:basedOn w:val="TableNormal"/>
    <w:rsid w:val="007D08F3"/>
    <w:pPr>
      <w:spacing w:after="240" w:line="260" w:lineRule="exact"/>
      <w:jc w:val="both"/>
    </w:pPr>
    <w:tblPr>
      <w:tblInd w:w="0" w:type="dxa"/>
      <w:tblCellMar>
        <w:top w:w="0" w:type="dxa"/>
        <w:left w:w="108" w:type="dxa"/>
        <w:bottom w:w="0" w:type="dxa"/>
        <w:right w:w="108" w:type="dxa"/>
      </w:tblCellMar>
    </w:tblPr>
    <w:tcPr>
      <w:shd w:val="clear" w:color="auto" w:fill="E6E6E6"/>
    </w:tcPr>
  </w:style>
  <w:style w:type="paragraph" w:customStyle="1" w:styleId="TableColumnHeadingBase">
    <w:name w:val="Table Column Heading Base"/>
    <w:basedOn w:val="Normal"/>
    <w:rsid w:val="00EB2A00"/>
    <w:pPr>
      <w:spacing w:before="40" w:after="40" w:line="240" w:lineRule="auto"/>
    </w:pPr>
    <w:rPr>
      <w:rFonts w:ascii="Arial Bold" w:hAnsi="Arial Bold"/>
      <w:b/>
      <w:sz w:val="16"/>
    </w:rPr>
  </w:style>
  <w:style w:type="paragraph" w:styleId="FootnoteText">
    <w:name w:val="footnote text"/>
    <w:basedOn w:val="Normal"/>
    <w:link w:val="FootnoteTextChar"/>
    <w:uiPriority w:val="99"/>
    <w:rsid w:val="007D08F3"/>
    <w:pPr>
      <w:tabs>
        <w:tab w:val="left" w:pos="284"/>
      </w:tabs>
      <w:spacing w:after="0" w:line="240" w:lineRule="auto"/>
      <w:ind w:left="284" w:hanging="284"/>
    </w:pPr>
    <w:rPr>
      <w:sz w:val="18"/>
    </w:rPr>
  </w:style>
  <w:style w:type="paragraph" w:customStyle="1" w:styleId="Bullet">
    <w:name w:val="Bullet"/>
    <w:basedOn w:val="Normal"/>
    <w:link w:val="BulletChar"/>
    <w:rsid w:val="007D08F3"/>
    <w:pPr>
      <w:numPr>
        <w:numId w:val="1"/>
      </w:numPr>
    </w:pPr>
  </w:style>
  <w:style w:type="paragraph" w:customStyle="1" w:styleId="Dash">
    <w:name w:val="Dash"/>
    <w:basedOn w:val="Normal"/>
    <w:link w:val="DashChar"/>
    <w:rsid w:val="007D08F3"/>
    <w:pPr>
      <w:numPr>
        <w:ilvl w:val="1"/>
        <w:numId w:val="1"/>
      </w:numPr>
    </w:pPr>
  </w:style>
  <w:style w:type="paragraph" w:customStyle="1" w:styleId="DoubleDot">
    <w:name w:val="Double Dot"/>
    <w:basedOn w:val="Normal"/>
    <w:link w:val="DoubleDotChar"/>
    <w:rsid w:val="007D08F3"/>
    <w:pPr>
      <w:numPr>
        <w:ilvl w:val="2"/>
        <w:numId w:val="1"/>
      </w:numPr>
    </w:pPr>
  </w:style>
  <w:style w:type="paragraph" w:customStyle="1" w:styleId="OutlineNumbered1">
    <w:name w:val="Outline Numbered 1"/>
    <w:basedOn w:val="Normal"/>
    <w:uiPriority w:val="99"/>
    <w:rsid w:val="00E07913"/>
  </w:style>
  <w:style w:type="paragraph" w:customStyle="1" w:styleId="OutlineNumbered2">
    <w:name w:val="Outline Numbered 2"/>
    <w:basedOn w:val="Normal"/>
    <w:rsid w:val="00E07913"/>
    <w:pPr>
      <w:numPr>
        <w:ilvl w:val="1"/>
        <w:numId w:val="2"/>
      </w:numPr>
    </w:pPr>
  </w:style>
  <w:style w:type="paragraph" w:customStyle="1" w:styleId="OutlineNumbered3">
    <w:name w:val="Outline Numbered 3"/>
    <w:basedOn w:val="Normal"/>
    <w:rsid w:val="00E07913"/>
    <w:pPr>
      <w:numPr>
        <w:ilvl w:val="2"/>
        <w:numId w:val="2"/>
      </w:numPr>
    </w:pPr>
  </w:style>
  <w:style w:type="paragraph" w:customStyle="1" w:styleId="AlphaParagraph">
    <w:name w:val="Alpha Paragraph"/>
    <w:basedOn w:val="Normal"/>
    <w:uiPriority w:val="99"/>
    <w:rsid w:val="007D08F3"/>
    <w:pPr>
      <w:numPr>
        <w:numId w:val="3"/>
      </w:numPr>
      <w:tabs>
        <w:tab w:val="clear" w:pos="567"/>
        <w:tab w:val="num" w:pos="283"/>
      </w:tabs>
      <w:ind w:left="283" w:hanging="283"/>
    </w:pPr>
  </w:style>
  <w:style w:type="paragraph" w:customStyle="1" w:styleId="HeadingBase">
    <w:name w:val="Heading Base"/>
    <w:next w:val="Normal"/>
    <w:rsid w:val="00EF78EF"/>
    <w:pPr>
      <w:keepNext/>
    </w:pPr>
    <w:rPr>
      <w:rFonts w:ascii="Arial" w:hAnsi="Arial"/>
      <w:color w:val="00673A"/>
    </w:rPr>
  </w:style>
  <w:style w:type="paragraph" w:customStyle="1" w:styleId="AppendixHeading">
    <w:name w:val="Appendix Heading"/>
    <w:basedOn w:val="HeadingBase"/>
    <w:next w:val="Normal"/>
    <w:rsid w:val="00EB2A00"/>
    <w:pPr>
      <w:spacing w:before="720" w:after="360"/>
      <w:outlineLvl w:val="0"/>
    </w:pPr>
    <w:rPr>
      <w:rFonts w:ascii="Arial Bold" w:hAnsi="Arial Bold"/>
      <w:b/>
      <w:smallCaps/>
      <w:sz w:val="36"/>
      <w:szCs w:val="36"/>
    </w:rPr>
  </w:style>
  <w:style w:type="character" w:customStyle="1" w:styleId="Bold">
    <w:name w:val="Bold"/>
    <w:basedOn w:val="DefaultParagraphFont"/>
    <w:rsid w:val="007D08F3"/>
    <w:rPr>
      <w:b/>
    </w:rPr>
  </w:style>
  <w:style w:type="paragraph" w:customStyle="1" w:styleId="BoxHeading">
    <w:name w:val="Box Heading"/>
    <w:basedOn w:val="HeadingBase"/>
    <w:next w:val="BoxText"/>
    <w:rsid w:val="00CD565E"/>
    <w:pPr>
      <w:spacing w:before="240" w:after="120"/>
    </w:pPr>
    <w:rPr>
      <w:b/>
      <w:sz w:val="22"/>
    </w:rPr>
  </w:style>
  <w:style w:type="paragraph" w:customStyle="1" w:styleId="BoxTextBase">
    <w:name w:val="Box Text Base"/>
    <w:basedOn w:val="Normal"/>
    <w:rsid w:val="00CD565E"/>
    <w:pPr>
      <w:spacing w:before="120" w:after="120"/>
    </w:pPr>
  </w:style>
  <w:style w:type="paragraph" w:customStyle="1" w:styleId="ChartandTableFootnoteAlpha">
    <w:name w:val="Chart and Table Footnote Alpha"/>
    <w:rsid w:val="007D08F3"/>
    <w:pPr>
      <w:numPr>
        <w:numId w:val="4"/>
      </w:numPr>
      <w:jc w:val="both"/>
    </w:pPr>
    <w:rPr>
      <w:rFonts w:ascii="Arial" w:hAnsi="Arial"/>
      <w:color w:val="000000"/>
      <w:sz w:val="16"/>
      <w:szCs w:val="16"/>
    </w:rPr>
  </w:style>
  <w:style w:type="paragraph" w:customStyle="1" w:styleId="ChartGraphic">
    <w:name w:val="Chart Graphic"/>
    <w:basedOn w:val="HeadingBase"/>
    <w:next w:val="Normal"/>
    <w:rsid w:val="007D08F3"/>
    <w:pPr>
      <w:jc w:val="center"/>
    </w:pPr>
  </w:style>
  <w:style w:type="paragraph" w:customStyle="1" w:styleId="ChartMainHeading">
    <w:name w:val="Chart Main Heading"/>
    <w:basedOn w:val="HeadingBase"/>
    <w:next w:val="ChartGraphic"/>
    <w:rsid w:val="007D08F3"/>
    <w:pPr>
      <w:spacing w:after="20"/>
      <w:jc w:val="center"/>
    </w:pPr>
    <w:rPr>
      <w:b/>
      <w:sz w:val="22"/>
    </w:rPr>
  </w:style>
  <w:style w:type="paragraph" w:customStyle="1" w:styleId="ChartorTableNote">
    <w:name w:val="Chart or Table Note"/>
    <w:next w:val="Normal"/>
    <w:uiPriority w:val="99"/>
    <w:rsid w:val="007D08F3"/>
    <w:pPr>
      <w:jc w:val="both"/>
    </w:pPr>
    <w:rPr>
      <w:rFonts w:ascii="Arial" w:hAnsi="Arial"/>
      <w:color w:val="000000"/>
      <w:sz w:val="16"/>
    </w:rPr>
  </w:style>
  <w:style w:type="paragraph" w:customStyle="1" w:styleId="ChartSecondHeading">
    <w:name w:val="Chart Second Heading"/>
    <w:basedOn w:val="HeadingBase"/>
    <w:next w:val="ChartGraphic"/>
    <w:rsid w:val="00CD565E"/>
    <w:pPr>
      <w:spacing w:after="20"/>
      <w:jc w:val="center"/>
    </w:pPr>
  </w:style>
  <w:style w:type="paragraph" w:customStyle="1" w:styleId="Classification">
    <w:name w:val="Classification"/>
    <w:basedOn w:val="HeadingBase"/>
    <w:next w:val="Footer"/>
    <w:semiHidden/>
    <w:rsid w:val="007D08F3"/>
    <w:pPr>
      <w:spacing w:after="120"/>
      <w:jc w:val="center"/>
    </w:pPr>
    <w:rPr>
      <w:b/>
      <w:smallCaps/>
    </w:rPr>
  </w:style>
  <w:style w:type="paragraph" w:styleId="Footer">
    <w:name w:val="footer"/>
    <w:basedOn w:val="HeadingBase"/>
    <w:rsid w:val="007D08F3"/>
    <w:rPr>
      <w:sz w:val="18"/>
    </w:rPr>
  </w:style>
  <w:style w:type="paragraph" w:customStyle="1" w:styleId="ContentsHeading">
    <w:name w:val="Contents Heading"/>
    <w:basedOn w:val="HeadingBase"/>
    <w:next w:val="Normal"/>
    <w:rsid w:val="007D08F3"/>
    <w:pPr>
      <w:spacing w:after="360"/>
    </w:pPr>
    <w:rPr>
      <w:smallCaps/>
      <w:sz w:val="36"/>
      <w:szCs w:val="36"/>
    </w:rPr>
  </w:style>
  <w:style w:type="paragraph" w:customStyle="1" w:styleId="CoverTitleMain">
    <w:name w:val="Cover Title Main"/>
    <w:basedOn w:val="HeadingBase"/>
    <w:next w:val="Normal"/>
    <w:rsid w:val="005F15FE"/>
    <w:pPr>
      <w:spacing w:after="480"/>
      <w:jc w:val="right"/>
    </w:pPr>
    <w:rPr>
      <w:rFonts w:ascii="Arial Bold" w:hAnsi="Arial Bold"/>
      <w:b/>
      <w:sz w:val="72"/>
    </w:rPr>
  </w:style>
  <w:style w:type="paragraph" w:customStyle="1" w:styleId="CoverTitleSub">
    <w:name w:val="Cover Title Sub"/>
    <w:basedOn w:val="HeadingBase"/>
    <w:rsid w:val="005F15FE"/>
    <w:pPr>
      <w:spacing w:after="360"/>
      <w:jc w:val="right"/>
    </w:pPr>
    <w:rPr>
      <w:sz w:val="36"/>
    </w:rPr>
  </w:style>
  <w:style w:type="paragraph" w:customStyle="1" w:styleId="FooterCentered">
    <w:name w:val="Footer Centered"/>
    <w:basedOn w:val="Footer"/>
    <w:uiPriority w:val="99"/>
    <w:rsid w:val="007D08F3"/>
    <w:pPr>
      <w:jc w:val="center"/>
    </w:pPr>
  </w:style>
  <w:style w:type="paragraph" w:customStyle="1" w:styleId="FooterEven">
    <w:name w:val="Footer Even"/>
    <w:basedOn w:val="Footer"/>
    <w:uiPriority w:val="99"/>
    <w:rsid w:val="007D08F3"/>
  </w:style>
  <w:style w:type="paragraph" w:customStyle="1" w:styleId="FooterOdd">
    <w:name w:val="Footer Odd"/>
    <w:basedOn w:val="Footer"/>
    <w:uiPriority w:val="99"/>
    <w:rsid w:val="007D08F3"/>
    <w:pPr>
      <w:jc w:val="right"/>
    </w:pPr>
  </w:style>
  <w:style w:type="character" w:customStyle="1" w:styleId="FramedFooter">
    <w:name w:val="Framed Footer"/>
    <w:rsid w:val="007D08F3"/>
    <w:rPr>
      <w:rFonts w:ascii="Arial" w:hAnsi="Arial"/>
      <w:sz w:val="18"/>
    </w:rPr>
  </w:style>
  <w:style w:type="character" w:customStyle="1" w:styleId="FramedHeader">
    <w:name w:val="Framed Header"/>
    <w:basedOn w:val="DefaultParagraphFont"/>
    <w:rsid w:val="007D08F3"/>
    <w:rPr>
      <w:rFonts w:ascii="Arial" w:hAnsi="Arial"/>
      <w:dstrike w:val="0"/>
      <w:color w:val="auto"/>
      <w:sz w:val="18"/>
      <w:vertAlign w:val="baseline"/>
    </w:rPr>
  </w:style>
  <w:style w:type="paragraph" w:styleId="Header">
    <w:name w:val="header"/>
    <w:basedOn w:val="HeadingBase"/>
    <w:link w:val="HeaderChar"/>
    <w:uiPriority w:val="99"/>
    <w:rsid w:val="007D08F3"/>
    <w:rPr>
      <w:sz w:val="18"/>
    </w:rPr>
  </w:style>
  <w:style w:type="paragraph" w:customStyle="1" w:styleId="HeaderEven">
    <w:name w:val="Header Even"/>
    <w:basedOn w:val="Header"/>
    <w:uiPriority w:val="99"/>
    <w:rsid w:val="007D08F3"/>
  </w:style>
  <w:style w:type="paragraph" w:customStyle="1" w:styleId="HeaderOdd">
    <w:name w:val="Header Odd"/>
    <w:basedOn w:val="Header"/>
    <w:rsid w:val="007D08F3"/>
    <w:pPr>
      <w:jc w:val="right"/>
    </w:pPr>
  </w:style>
  <w:style w:type="paragraph" w:styleId="NormalIndent">
    <w:name w:val="Normal Indent"/>
    <w:basedOn w:val="Normal"/>
    <w:rsid w:val="00CD565E"/>
    <w:pPr>
      <w:ind w:left="567"/>
    </w:pPr>
  </w:style>
  <w:style w:type="paragraph" w:customStyle="1" w:styleId="RecommendationHeading">
    <w:name w:val="Recommendation Heading"/>
    <w:basedOn w:val="HeadingBase"/>
    <w:next w:val="RecommendationText"/>
    <w:rsid w:val="007D08F3"/>
    <w:pPr>
      <w:spacing w:before="120" w:after="240"/>
    </w:pPr>
    <w:rPr>
      <w:b/>
      <w:sz w:val="22"/>
    </w:rPr>
  </w:style>
  <w:style w:type="paragraph" w:customStyle="1" w:styleId="RecommendationTextBase">
    <w:name w:val="Recommendation Text Base"/>
    <w:basedOn w:val="Normal"/>
    <w:rsid w:val="007C2061"/>
    <w:rPr>
      <w:i/>
    </w:rPr>
  </w:style>
  <w:style w:type="paragraph" w:customStyle="1" w:styleId="RecommendationText">
    <w:name w:val="Recommendation Text"/>
    <w:basedOn w:val="RecommendationTextBase"/>
    <w:rsid w:val="007D08F3"/>
  </w:style>
  <w:style w:type="paragraph" w:customStyle="1" w:styleId="TableTextBase">
    <w:name w:val="Table Text Base"/>
    <w:rsid w:val="007D08F3"/>
    <w:pPr>
      <w:spacing w:before="40" w:after="40"/>
    </w:pPr>
    <w:rPr>
      <w:rFonts w:ascii="Arial" w:hAnsi="Arial"/>
      <w:color w:val="000000"/>
      <w:sz w:val="16"/>
    </w:rPr>
  </w:style>
  <w:style w:type="paragraph" w:customStyle="1" w:styleId="TableColumnHeadingCentred">
    <w:name w:val="Table Column Heading Centred"/>
    <w:basedOn w:val="TableColumnHeadingBase"/>
    <w:rsid w:val="00EB2A00"/>
    <w:pPr>
      <w:jc w:val="center"/>
    </w:pPr>
    <w:rPr>
      <w:rFonts w:ascii="Arial" w:hAnsi="Arial"/>
    </w:rPr>
  </w:style>
  <w:style w:type="paragraph" w:customStyle="1" w:styleId="TableColumnHeadingLeft">
    <w:name w:val="Table Column Heading Left"/>
    <w:basedOn w:val="TableColumnHeadingBase"/>
    <w:rsid w:val="00EB2A00"/>
  </w:style>
  <w:style w:type="paragraph" w:customStyle="1" w:styleId="TableColumnHeadingRight">
    <w:name w:val="Table Column Heading Right"/>
    <w:basedOn w:val="TableColumnHeadingBase"/>
    <w:rsid w:val="00EB2A00"/>
    <w:pPr>
      <w:jc w:val="right"/>
    </w:pPr>
  </w:style>
  <w:style w:type="paragraph" w:customStyle="1" w:styleId="TableGraphic">
    <w:name w:val="Table Graphic"/>
    <w:basedOn w:val="HeadingBase"/>
    <w:next w:val="Normal"/>
    <w:rsid w:val="007D08F3"/>
  </w:style>
  <w:style w:type="paragraph" w:customStyle="1" w:styleId="TableMainHeading">
    <w:name w:val="Table Main Heading"/>
    <w:basedOn w:val="HeadingBase"/>
    <w:next w:val="TableGraphic"/>
    <w:rsid w:val="007D08F3"/>
    <w:pPr>
      <w:spacing w:after="20"/>
    </w:pPr>
    <w:rPr>
      <w:b/>
      <w:sz w:val="22"/>
    </w:rPr>
  </w:style>
  <w:style w:type="paragraph" w:customStyle="1" w:styleId="TableMainHeadingContd">
    <w:name w:val="Table Main Heading Contd"/>
    <w:basedOn w:val="HeadingBase"/>
    <w:next w:val="TableGraphic"/>
    <w:rsid w:val="00EB2A00"/>
    <w:pPr>
      <w:pageBreakBefore/>
      <w:spacing w:after="20"/>
    </w:pPr>
    <w:rPr>
      <w:b/>
      <w:sz w:val="22"/>
    </w:rPr>
  </w:style>
  <w:style w:type="paragraph" w:customStyle="1" w:styleId="TableSecondHeading">
    <w:name w:val="Table Second Heading"/>
    <w:basedOn w:val="HeadingBase"/>
    <w:next w:val="TableGraphic"/>
    <w:rsid w:val="007D08F3"/>
    <w:pPr>
      <w:spacing w:after="20"/>
    </w:pPr>
  </w:style>
  <w:style w:type="paragraph" w:customStyle="1" w:styleId="TableTextCentered">
    <w:name w:val="Table Text Centered"/>
    <w:basedOn w:val="TableTextBase"/>
    <w:rsid w:val="007D08F3"/>
    <w:pPr>
      <w:jc w:val="center"/>
    </w:pPr>
  </w:style>
  <w:style w:type="paragraph" w:customStyle="1" w:styleId="TableTextIndented">
    <w:name w:val="Table Text Indented"/>
    <w:basedOn w:val="TableTextBase"/>
    <w:rsid w:val="007D08F3"/>
    <w:pPr>
      <w:ind w:left="284"/>
    </w:pPr>
  </w:style>
  <w:style w:type="paragraph" w:customStyle="1" w:styleId="TableTextLeft">
    <w:name w:val="Table Text Left"/>
    <w:basedOn w:val="TableTextBase"/>
    <w:rsid w:val="007D08F3"/>
  </w:style>
  <w:style w:type="paragraph" w:customStyle="1" w:styleId="TableTextRight">
    <w:name w:val="Table Text Right"/>
    <w:basedOn w:val="TableTextBase"/>
    <w:rsid w:val="007D08F3"/>
    <w:pPr>
      <w:jc w:val="right"/>
    </w:pPr>
  </w:style>
  <w:style w:type="paragraph" w:styleId="TOC1">
    <w:name w:val="toc 1"/>
    <w:basedOn w:val="HeadingBase"/>
    <w:next w:val="Normal"/>
    <w:uiPriority w:val="39"/>
    <w:rsid w:val="007D08F3"/>
    <w:pPr>
      <w:tabs>
        <w:tab w:val="right" w:leader="dot" w:pos="9072"/>
      </w:tabs>
      <w:spacing w:before="180"/>
      <w:ind w:right="851"/>
    </w:pPr>
    <w:rPr>
      <w:b/>
      <w:smallCaps/>
      <w:sz w:val="22"/>
      <w:szCs w:val="22"/>
    </w:rPr>
  </w:style>
  <w:style w:type="paragraph" w:styleId="TOC2">
    <w:name w:val="toc 2"/>
    <w:basedOn w:val="HeadingBase"/>
    <w:next w:val="Normal"/>
    <w:uiPriority w:val="39"/>
    <w:rsid w:val="007D08F3"/>
    <w:pPr>
      <w:tabs>
        <w:tab w:val="right" w:leader="dot" w:pos="9072"/>
      </w:tabs>
      <w:spacing w:before="40" w:after="20"/>
      <w:ind w:right="851"/>
    </w:pPr>
  </w:style>
  <w:style w:type="paragraph" w:styleId="TOC3">
    <w:name w:val="toc 3"/>
    <w:basedOn w:val="Normal"/>
    <w:next w:val="Normal"/>
    <w:uiPriority w:val="39"/>
    <w:rsid w:val="00CD565E"/>
    <w:pPr>
      <w:tabs>
        <w:tab w:val="right" w:leader="dot" w:pos="9072"/>
      </w:tabs>
      <w:spacing w:before="20" w:after="0" w:line="240" w:lineRule="auto"/>
      <w:ind w:left="284" w:right="851"/>
    </w:pPr>
    <w:rPr>
      <w:rFonts w:ascii="Arial" w:hAnsi="Arial"/>
      <w:sz w:val="20"/>
    </w:rPr>
  </w:style>
  <w:style w:type="paragraph" w:styleId="TOC4">
    <w:name w:val="toc 4"/>
    <w:basedOn w:val="Normal"/>
    <w:next w:val="Normal"/>
    <w:rsid w:val="007D08F3"/>
    <w:pPr>
      <w:tabs>
        <w:tab w:val="right" w:leader="dot" w:pos="9072"/>
      </w:tabs>
      <w:spacing w:after="0" w:line="240" w:lineRule="auto"/>
      <w:ind w:left="284" w:right="851"/>
    </w:pPr>
  </w:style>
  <w:style w:type="character" w:customStyle="1" w:styleId="italic">
    <w:name w:val="italic"/>
    <w:basedOn w:val="DefaultParagraphFont"/>
    <w:rsid w:val="007D08F3"/>
    <w:rPr>
      <w:i/>
    </w:rPr>
  </w:style>
  <w:style w:type="paragraph" w:customStyle="1" w:styleId="OneLevelNumberedParagraph">
    <w:name w:val="One Level Numbered Paragraph"/>
    <w:basedOn w:val="Normal"/>
    <w:rsid w:val="007D08F3"/>
    <w:pPr>
      <w:numPr>
        <w:numId w:val="10"/>
      </w:numPr>
    </w:pPr>
  </w:style>
  <w:style w:type="paragraph" w:customStyle="1" w:styleId="BoxText">
    <w:name w:val="Box Text"/>
    <w:basedOn w:val="BoxTextBase"/>
    <w:rsid w:val="007D08F3"/>
  </w:style>
  <w:style w:type="paragraph" w:customStyle="1" w:styleId="BoxBullet">
    <w:name w:val="Box Bullet"/>
    <w:basedOn w:val="BoxTextBase"/>
    <w:uiPriority w:val="99"/>
    <w:rsid w:val="007D08F3"/>
    <w:pPr>
      <w:numPr>
        <w:numId w:val="9"/>
      </w:numPr>
    </w:pPr>
  </w:style>
  <w:style w:type="paragraph" w:customStyle="1" w:styleId="BoxDash">
    <w:name w:val="Box Dash"/>
    <w:basedOn w:val="Normal"/>
    <w:uiPriority w:val="99"/>
    <w:rsid w:val="007D08F3"/>
    <w:pPr>
      <w:numPr>
        <w:ilvl w:val="1"/>
        <w:numId w:val="9"/>
      </w:numPr>
    </w:pPr>
  </w:style>
  <w:style w:type="paragraph" w:customStyle="1" w:styleId="BoxDoubleDot">
    <w:name w:val="Box Double Dot"/>
    <w:basedOn w:val="BoxTextBase"/>
    <w:uiPriority w:val="99"/>
    <w:rsid w:val="007D08F3"/>
    <w:pPr>
      <w:numPr>
        <w:ilvl w:val="2"/>
        <w:numId w:val="9"/>
      </w:numPr>
    </w:pPr>
  </w:style>
  <w:style w:type="paragraph" w:customStyle="1" w:styleId="RecommendationBullet">
    <w:name w:val="Recommendation Bullet"/>
    <w:basedOn w:val="RecommendationTextBase"/>
    <w:rsid w:val="007D08F3"/>
    <w:pPr>
      <w:numPr>
        <w:numId w:val="11"/>
      </w:numPr>
    </w:pPr>
  </w:style>
  <w:style w:type="paragraph" w:customStyle="1" w:styleId="RecommendationDash">
    <w:name w:val="Recommendation Dash"/>
    <w:basedOn w:val="RecommendationTextBase"/>
    <w:rsid w:val="007D08F3"/>
    <w:pPr>
      <w:numPr>
        <w:ilvl w:val="1"/>
        <w:numId w:val="11"/>
      </w:numPr>
    </w:pPr>
  </w:style>
  <w:style w:type="paragraph" w:customStyle="1" w:styleId="RecommendationDoubleDot">
    <w:name w:val="Recommendation Double Dot"/>
    <w:basedOn w:val="RecommendationTextBase"/>
    <w:rsid w:val="007D08F3"/>
    <w:pPr>
      <w:numPr>
        <w:ilvl w:val="2"/>
        <w:numId w:val="11"/>
      </w:numPr>
    </w:pPr>
  </w:style>
  <w:style w:type="character" w:styleId="FollowedHyperlink">
    <w:name w:val="FollowedHyperlink"/>
    <w:basedOn w:val="DefaultParagraphFont"/>
    <w:rsid w:val="007D08F3"/>
    <w:rPr>
      <w:color w:val="auto"/>
      <w:u w:val="none"/>
    </w:rPr>
  </w:style>
  <w:style w:type="paragraph" w:customStyle="1" w:styleId="Heading1NotNumbered">
    <w:name w:val="Heading 1 Not Numbered"/>
    <w:basedOn w:val="HeadingBase"/>
    <w:next w:val="Normal"/>
    <w:rsid w:val="007D08F3"/>
    <w:pPr>
      <w:spacing w:before="720" w:after="360"/>
    </w:pPr>
    <w:rPr>
      <w:rFonts w:ascii="Arial Bold" w:hAnsi="Arial Bold"/>
      <w:b/>
      <w:smallCaps/>
      <w:sz w:val="36"/>
      <w:szCs w:val="36"/>
    </w:rPr>
  </w:style>
  <w:style w:type="paragraph" w:customStyle="1" w:styleId="Heading2NotNumbered">
    <w:name w:val="Heading 2 Not Numbered"/>
    <w:basedOn w:val="HeadingBase"/>
    <w:next w:val="Normal"/>
    <w:rsid w:val="002A2C88"/>
    <w:pPr>
      <w:spacing w:before="360" w:after="180"/>
    </w:pPr>
    <w:rPr>
      <w:rFonts w:ascii="Arial Bold" w:hAnsi="Arial Bold"/>
      <w:b/>
      <w:smallCaps/>
      <w:sz w:val="28"/>
      <w:szCs w:val="28"/>
    </w:rPr>
  </w:style>
  <w:style w:type="paragraph" w:customStyle="1" w:styleId="Heading3NotNumbered">
    <w:name w:val="Heading 3 Not Numbered"/>
    <w:basedOn w:val="HeadingBase"/>
    <w:next w:val="Normal"/>
    <w:rsid w:val="002A2C88"/>
    <w:pPr>
      <w:spacing w:before="240" w:after="120"/>
    </w:pPr>
    <w:rPr>
      <w:b/>
      <w:sz w:val="26"/>
      <w:szCs w:val="26"/>
    </w:rPr>
  </w:style>
  <w:style w:type="paragraph" w:customStyle="1" w:styleId="Heading4NotNumbered">
    <w:name w:val="Heading 4 Not Numbered"/>
    <w:basedOn w:val="HeadingBase"/>
    <w:rsid w:val="002A2C88"/>
    <w:pPr>
      <w:spacing w:before="120" w:after="120"/>
      <w:outlineLvl w:val="3"/>
    </w:pPr>
    <w:rPr>
      <w:b/>
      <w:sz w:val="22"/>
    </w:rPr>
  </w:style>
  <w:style w:type="paragraph" w:styleId="BalloonText">
    <w:name w:val="Balloon Text"/>
    <w:basedOn w:val="Normal"/>
    <w:semiHidden/>
    <w:rsid w:val="005E76C1"/>
    <w:rPr>
      <w:rFonts w:ascii="Tahoma" w:hAnsi="Tahoma" w:cs="Tahoma"/>
      <w:sz w:val="16"/>
      <w:szCs w:val="16"/>
    </w:rPr>
  </w:style>
  <w:style w:type="paragraph" w:styleId="Caption">
    <w:name w:val="caption"/>
    <w:basedOn w:val="Normal"/>
    <w:next w:val="Normal"/>
    <w:uiPriority w:val="99"/>
    <w:qFormat/>
    <w:rsid w:val="005E76C1"/>
    <w:rPr>
      <w:b/>
      <w:bCs/>
    </w:rPr>
  </w:style>
  <w:style w:type="character" w:styleId="CommentReference">
    <w:name w:val="annotation reference"/>
    <w:basedOn w:val="DefaultParagraphFont"/>
    <w:uiPriority w:val="99"/>
    <w:semiHidden/>
    <w:rsid w:val="005E76C1"/>
    <w:rPr>
      <w:sz w:val="16"/>
      <w:szCs w:val="16"/>
    </w:rPr>
  </w:style>
  <w:style w:type="paragraph" w:styleId="CommentText">
    <w:name w:val="annotation text"/>
    <w:basedOn w:val="Normal"/>
    <w:link w:val="CommentTextChar"/>
    <w:uiPriority w:val="99"/>
    <w:semiHidden/>
    <w:rsid w:val="005E76C1"/>
  </w:style>
  <w:style w:type="paragraph" w:styleId="CommentSubject">
    <w:name w:val="annotation subject"/>
    <w:basedOn w:val="CommentText"/>
    <w:next w:val="CommentText"/>
    <w:semiHidden/>
    <w:rsid w:val="005E76C1"/>
    <w:rPr>
      <w:b/>
      <w:bCs/>
    </w:rPr>
  </w:style>
  <w:style w:type="paragraph" w:styleId="DocumentMap">
    <w:name w:val="Document Map"/>
    <w:basedOn w:val="Normal"/>
    <w:semiHidden/>
    <w:rsid w:val="005E76C1"/>
    <w:pPr>
      <w:shd w:val="clear" w:color="auto" w:fill="000080"/>
    </w:pPr>
    <w:rPr>
      <w:rFonts w:ascii="Tahoma" w:hAnsi="Tahoma" w:cs="Tahoma"/>
    </w:rPr>
  </w:style>
  <w:style w:type="character" w:styleId="EndnoteReference">
    <w:name w:val="endnote reference"/>
    <w:basedOn w:val="DefaultParagraphFont"/>
    <w:semiHidden/>
    <w:rsid w:val="005E76C1"/>
    <w:rPr>
      <w:vertAlign w:val="superscript"/>
    </w:rPr>
  </w:style>
  <w:style w:type="paragraph" w:styleId="EndnoteText">
    <w:name w:val="endnote text"/>
    <w:basedOn w:val="Normal"/>
    <w:semiHidden/>
    <w:rsid w:val="005E76C1"/>
  </w:style>
  <w:style w:type="character" w:styleId="FootnoteReference">
    <w:name w:val="footnote reference"/>
    <w:basedOn w:val="DefaultParagraphFont"/>
    <w:uiPriority w:val="99"/>
    <w:rsid w:val="005E76C1"/>
    <w:rPr>
      <w:vertAlign w:val="superscript"/>
    </w:rPr>
  </w:style>
  <w:style w:type="paragraph" w:styleId="Index1">
    <w:name w:val="index 1"/>
    <w:basedOn w:val="Normal"/>
    <w:next w:val="Normal"/>
    <w:autoRedefine/>
    <w:semiHidden/>
    <w:rsid w:val="005E76C1"/>
    <w:pPr>
      <w:ind w:left="200" w:hanging="200"/>
    </w:pPr>
  </w:style>
  <w:style w:type="paragraph" w:styleId="Index2">
    <w:name w:val="index 2"/>
    <w:basedOn w:val="Normal"/>
    <w:next w:val="Normal"/>
    <w:autoRedefine/>
    <w:semiHidden/>
    <w:rsid w:val="005E76C1"/>
    <w:pPr>
      <w:ind w:left="400" w:hanging="200"/>
    </w:pPr>
  </w:style>
  <w:style w:type="paragraph" w:styleId="Index3">
    <w:name w:val="index 3"/>
    <w:basedOn w:val="Normal"/>
    <w:next w:val="Normal"/>
    <w:autoRedefine/>
    <w:semiHidden/>
    <w:rsid w:val="005E76C1"/>
    <w:pPr>
      <w:ind w:left="600" w:hanging="200"/>
    </w:pPr>
  </w:style>
  <w:style w:type="paragraph" w:styleId="Index4">
    <w:name w:val="index 4"/>
    <w:basedOn w:val="Normal"/>
    <w:next w:val="Normal"/>
    <w:autoRedefine/>
    <w:semiHidden/>
    <w:rsid w:val="005E76C1"/>
    <w:pPr>
      <w:ind w:left="800" w:hanging="200"/>
    </w:pPr>
  </w:style>
  <w:style w:type="paragraph" w:styleId="Index5">
    <w:name w:val="index 5"/>
    <w:basedOn w:val="Normal"/>
    <w:next w:val="Normal"/>
    <w:autoRedefine/>
    <w:semiHidden/>
    <w:rsid w:val="005E76C1"/>
    <w:pPr>
      <w:ind w:left="1000" w:hanging="200"/>
    </w:pPr>
  </w:style>
  <w:style w:type="paragraph" w:styleId="Index6">
    <w:name w:val="index 6"/>
    <w:basedOn w:val="Normal"/>
    <w:next w:val="Normal"/>
    <w:autoRedefine/>
    <w:semiHidden/>
    <w:rsid w:val="005E76C1"/>
    <w:pPr>
      <w:ind w:left="1200" w:hanging="200"/>
    </w:pPr>
  </w:style>
  <w:style w:type="paragraph" w:styleId="Index7">
    <w:name w:val="index 7"/>
    <w:basedOn w:val="Normal"/>
    <w:next w:val="Normal"/>
    <w:autoRedefine/>
    <w:semiHidden/>
    <w:rsid w:val="005E76C1"/>
    <w:pPr>
      <w:ind w:left="1400" w:hanging="200"/>
    </w:pPr>
  </w:style>
  <w:style w:type="paragraph" w:styleId="Index8">
    <w:name w:val="index 8"/>
    <w:basedOn w:val="Normal"/>
    <w:next w:val="Normal"/>
    <w:autoRedefine/>
    <w:semiHidden/>
    <w:rsid w:val="005E76C1"/>
    <w:pPr>
      <w:ind w:left="1600" w:hanging="200"/>
    </w:pPr>
  </w:style>
  <w:style w:type="paragraph" w:styleId="Index9">
    <w:name w:val="index 9"/>
    <w:basedOn w:val="Normal"/>
    <w:next w:val="Normal"/>
    <w:autoRedefine/>
    <w:semiHidden/>
    <w:rsid w:val="005E76C1"/>
    <w:pPr>
      <w:ind w:left="1800" w:hanging="200"/>
    </w:pPr>
  </w:style>
  <w:style w:type="paragraph" w:styleId="IndexHeading">
    <w:name w:val="index heading"/>
    <w:basedOn w:val="Normal"/>
    <w:next w:val="Index1"/>
    <w:semiHidden/>
    <w:rsid w:val="005E76C1"/>
    <w:rPr>
      <w:rFonts w:ascii="Arial" w:hAnsi="Arial" w:cs="Arial"/>
      <w:b/>
      <w:bCs/>
    </w:rPr>
  </w:style>
  <w:style w:type="paragraph" w:styleId="MacroText">
    <w:name w:val="macro"/>
    <w:semiHidden/>
    <w:rsid w:val="005E76C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color w:val="000000"/>
    </w:rPr>
  </w:style>
  <w:style w:type="paragraph" w:styleId="TableofAuthorities">
    <w:name w:val="table of authorities"/>
    <w:basedOn w:val="Normal"/>
    <w:next w:val="Normal"/>
    <w:rsid w:val="005E76C1"/>
    <w:pPr>
      <w:ind w:left="200" w:hanging="200"/>
    </w:pPr>
  </w:style>
  <w:style w:type="paragraph" w:styleId="TableofFigures">
    <w:name w:val="table of figures"/>
    <w:basedOn w:val="Normal"/>
    <w:next w:val="Normal"/>
    <w:rsid w:val="005E76C1"/>
  </w:style>
  <w:style w:type="paragraph" w:styleId="TOAHeading">
    <w:name w:val="toa heading"/>
    <w:basedOn w:val="Normal"/>
    <w:next w:val="Normal"/>
    <w:semiHidden/>
    <w:rsid w:val="005E76C1"/>
    <w:pPr>
      <w:spacing w:before="120"/>
    </w:pPr>
    <w:rPr>
      <w:rFonts w:ascii="Arial" w:hAnsi="Arial" w:cs="Arial"/>
      <w:b/>
      <w:bCs/>
      <w:sz w:val="24"/>
      <w:szCs w:val="24"/>
    </w:rPr>
  </w:style>
  <w:style w:type="paragraph" w:styleId="TOC5">
    <w:name w:val="toc 5"/>
    <w:basedOn w:val="Normal"/>
    <w:next w:val="Normal"/>
    <w:autoRedefine/>
    <w:semiHidden/>
    <w:rsid w:val="005E76C1"/>
    <w:pPr>
      <w:ind w:left="800"/>
    </w:pPr>
  </w:style>
  <w:style w:type="paragraph" w:styleId="TOC6">
    <w:name w:val="toc 6"/>
    <w:basedOn w:val="Normal"/>
    <w:next w:val="Normal"/>
    <w:autoRedefine/>
    <w:semiHidden/>
    <w:rsid w:val="005E76C1"/>
    <w:pPr>
      <w:ind w:left="1000"/>
    </w:pPr>
  </w:style>
  <w:style w:type="paragraph" w:styleId="TOC7">
    <w:name w:val="toc 7"/>
    <w:basedOn w:val="Normal"/>
    <w:next w:val="Normal"/>
    <w:autoRedefine/>
    <w:semiHidden/>
    <w:rsid w:val="005E76C1"/>
    <w:pPr>
      <w:ind w:left="1200"/>
    </w:pPr>
  </w:style>
  <w:style w:type="paragraph" w:styleId="TOC8">
    <w:name w:val="toc 8"/>
    <w:basedOn w:val="Normal"/>
    <w:next w:val="Normal"/>
    <w:autoRedefine/>
    <w:semiHidden/>
    <w:rsid w:val="005E76C1"/>
    <w:pPr>
      <w:ind w:left="1400"/>
    </w:pPr>
  </w:style>
  <w:style w:type="paragraph" w:styleId="TOC9">
    <w:name w:val="toc 9"/>
    <w:basedOn w:val="Normal"/>
    <w:next w:val="Normal"/>
    <w:autoRedefine/>
    <w:semiHidden/>
    <w:rsid w:val="005E76C1"/>
    <w:pPr>
      <w:ind w:left="1600"/>
    </w:pPr>
  </w:style>
  <w:style w:type="paragraph" w:customStyle="1" w:styleId="Heading5NotNumbered">
    <w:name w:val="Heading 5 Not Numbered"/>
    <w:basedOn w:val="HeadingBase"/>
    <w:rsid w:val="002A2C88"/>
    <w:pPr>
      <w:spacing w:after="120"/>
      <w:outlineLvl w:val="4"/>
    </w:pPr>
    <w:rPr>
      <w:b/>
    </w:rPr>
  </w:style>
  <w:style w:type="paragraph" w:customStyle="1" w:styleId="Normalnumbered">
    <w:name w:val="Normal numbered"/>
    <w:basedOn w:val="Normal"/>
    <w:rsid w:val="002A2C88"/>
  </w:style>
  <w:style w:type="paragraph" w:customStyle="1" w:styleId="Romannumeral">
    <w:name w:val="Roman numeral"/>
    <w:basedOn w:val="Normal"/>
    <w:rsid w:val="002A2C88"/>
    <w:pPr>
      <w:numPr>
        <w:numId w:val="22"/>
      </w:numPr>
    </w:pPr>
  </w:style>
  <w:style w:type="paragraph" w:customStyle="1" w:styleId="OutlineNumbered4">
    <w:name w:val="Outline Numbered 4"/>
    <w:basedOn w:val="Normal"/>
    <w:rsid w:val="00E07913"/>
    <w:pPr>
      <w:numPr>
        <w:ilvl w:val="3"/>
        <w:numId w:val="2"/>
      </w:numPr>
    </w:pPr>
  </w:style>
  <w:style w:type="paragraph" w:customStyle="1" w:styleId="OutlineNumbered5">
    <w:name w:val="Outline Numbered 5"/>
    <w:basedOn w:val="Normal"/>
    <w:rsid w:val="00E07913"/>
    <w:pPr>
      <w:numPr>
        <w:ilvl w:val="4"/>
        <w:numId w:val="2"/>
      </w:numPr>
    </w:pPr>
  </w:style>
  <w:style w:type="paragraph" w:customStyle="1" w:styleId="Heading1NoTOC">
    <w:name w:val="Heading 1 No TOC"/>
    <w:basedOn w:val="Heading1"/>
    <w:next w:val="Normal"/>
    <w:uiPriority w:val="99"/>
    <w:rsid w:val="00CD565E"/>
  </w:style>
  <w:style w:type="paragraph" w:customStyle="1" w:styleId="Boxtexthangingindent">
    <w:name w:val="Box text hanging indent"/>
    <w:basedOn w:val="BoxText"/>
    <w:rsid w:val="00EF3C9C"/>
    <w:pPr>
      <w:spacing w:line="300" w:lineRule="exact"/>
      <w:ind w:left="567" w:hanging="567"/>
    </w:pPr>
  </w:style>
  <w:style w:type="paragraph" w:customStyle="1" w:styleId="Boxtexthangingplus">
    <w:name w:val="Box text hanging plus"/>
    <w:basedOn w:val="BoxText"/>
    <w:rsid w:val="00EF3C9C"/>
    <w:pPr>
      <w:spacing w:line="300" w:lineRule="exact"/>
      <w:ind w:left="1304" w:hanging="737"/>
    </w:pPr>
  </w:style>
  <w:style w:type="character" w:customStyle="1" w:styleId="A5">
    <w:name w:val="A5"/>
    <w:uiPriority w:val="99"/>
    <w:rsid w:val="00D16092"/>
    <w:rPr>
      <w:rFonts w:cs="Swiss 721 BT"/>
      <w:color w:val="000000"/>
      <w:sz w:val="20"/>
      <w:szCs w:val="20"/>
    </w:rPr>
  </w:style>
  <w:style w:type="character" w:customStyle="1" w:styleId="Heading1Char">
    <w:name w:val="Heading 1 Char"/>
    <w:basedOn w:val="DefaultParagraphFont"/>
    <w:link w:val="Heading1"/>
    <w:uiPriority w:val="99"/>
    <w:locked/>
    <w:rsid w:val="0062161A"/>
    <w:rPr>
      <w:rFonts w:ascii="Arial" w:hAnsi="Arial" w:cs="Arial"/>
      <w:b/>
      <w:bCs/>
      <w:smallCaps/>
      <w:color w:val="00673A"/>
      <w:kern w:val="32"/>
      <w:sz w:val="36"/>
      <w:szCs w:val="36"/>
    </w:rPr>
  </w:style>
  <w:style w:type="character" w:customStyle="1" w:styleId="Heading2Char">
    <w:name w:val="Heading 2 Char"/>
    <w:basedOn w:val="DefaultParagraphFont"/>
    <w:link w:val="Heading2"/>
    <w:uiPriority w:val="99"/>
    <w:locked/>
    <w:rsid w:val="0062161A"/>
    <w:rPr>
      <w:rFonts w:ascii="Arial" w:hAnsi="Arial" w:cs="Arial"/>
      <w:b/>
      <w:bCs/>
      <w:iCs/>
      <w:smallCaps/>
      <w:color w:val="00673A"/>
      <w:sz w:val="28"/>
      <w:szCs w:val="28"/>
    </w:rPr>
  </w:style>
  <w:style w:type="character" w:customStyle="1" w:styleId="DoubleDotChar">
    <w:name w:val="Double Dot Char"/>
    <w:basedOn w:val="DefaultParagraphFont"/>
    <w:link w:val="DoubleDot"/>
    <w:locked/>
    <w:rsid w:val="0062161A"/>
    <w:rPr>
      <w:rFonts w:ascii="Book Antiqua" w:hAnsi="Book Antiqua"/>
      <w:color w:val="000000"/>
      <w:sz w:val="22"/>
    </w:rPr>
  </w:style>
  <w:style w:type="character" w:customStyle="1" w:styleId="Heading3Char">
    <w:name w:val="Heading 3 Char"/>
    <w:basedOn w:val="DefaultParagraphFont"/>
    <w:link w:val="Heading3"/>
    <w:uiPriority w:val="99"/>
    <w:locked/>
    <w:rsid w:val="0062161A"/>
    <w:rPr>
      <w:rFonts w:ascii="Arial" w:hAnsi="Arial" w:cs="Arial"/>
      <w:b/>
      <w:bCs/>
      <w:color w:val="00673A"/>
      <w:sz w:val="26"/>
      <w:szCs w:val="26"/>
    </w:rPr>
  </w:style>
  <w:style w:type="character" w:customStyle="1" w:styleId="BulletChar">
    <w:name w:val="Bullet Char"/>
    <w:basedOn w:val="DefaultParagraphFont"/>
    <w:link w:val="Bullet"/>
    <w:locked/>
    <w:rsid w:val="0062161A"/>
    <w:rPr>
      <w:rFonts w:ascii="Book Antiqua" w:hAnsi="Book Antiqua"/>
      <w:color w:val="000000"/>
      <w:sz w:val="22"/>
    </w:rPr>
  </w:style>
  <w:style w:type="character" w:customStyle="1" w:styleId="DashChar">
    <w:name w:val="Dash Char"/>
    <w:basedOn w:val="DefaultParagraphFont"/>
    <w:link w:val="Dash"/>
    <w:locked/>
    <w:rsid w:val="0062161A"/>
    <w:rPr>
      <w:rFonts w:ascii="Book Antiqua" w:hAnsi="Book Antiqua"/>
      <w:color w:val="000000"/>
      <w:sz w:val="22"/>
    </w:rPr>
  </w:style>
  <w:style w:type="character" w:styleId="HTMLTypewriter">
    <w:name w:val="HTML Typewriter"/>
    <w:basedOn w:val="DefaultParagraphFont"/>
    <w:rsid w:val="0062161A"/>
    <w:rPr>
      <w:rFonts w:ascii="Courier New" w:eastAsia="Times New Roman" w:hAnsi="Courier New" w:cs="Courier New"/>
      <w:sz w:val="20"/>
      <w:szCs w:val="20"/>
    </w:rPr>
  </w:style>
  <w:style w:type="paragraph" w:customStyle="1" w:styleId="Advice">
    <w:name w:val="Advice"/>
    <w:basedOn w:val="Normal"/>
    <w:rsid w:val="0062161A"/>
    <w:pPr>
      <w:spacing w:before="60" w:after="80" w:line="240" w:lineRule="auto"/>
    </w:pPr>
    <w:rPr>
      <w:rFonts w:ascii="Verdana" w:hAnsi="Verdana"/>
      <w:i/>
      <w:color w:val="auto"/>
      <w:szCs w:val="22"/>
      <w:lang w:eastAsia="en-US"/>
    </w:rPr>
  </w:style>
  <w:style w:type="character" w:customStyle="1" w:styleId="fblongblurb2">
    <w:name w:val="fblongblurb2"/>
    <w:basedOn w:val="DefaultParagraphFont"/>
    <w:rsid w:val="0062161A"/>
    <w:rPr>
      <w:vanish w:val="0"/>
      <w:webHidden w:val="0"/>
      <w:color w:val="333333"/>
      <w:specVanish w:val="0"/>
    </w:rPr>
  </w:style>
  <w:style w:type="paragraph" w:customStyle="1" w:styleId="bBodyText">
    <w:name w:val="b_BodyText"/>
    <w:basedOn w:val="Normal"/>
    <w:rsid w:val="0062161A"/>
    <w:pPr>
      <w:spacing w:after="0" w:line="240" w:lineRule="auto"/>
      <w:jc w:val="both"/>
    </w:pPr>
    <w:rPr>
      <w:rFonts w:ascii="Arial" w:hAnsi="Arial"/>
      <w:color w:val="auto"/>
      <w:lang w:eastAsia="en-US"/>
    </w:rPr>
  </w:style>
  <w:style w:type="character" w:styleId="Strong">
    <w:name w:val="Strong"/>
    <w:basedOn w:val="DefaultParagraphFont"/>
    <w:qFormat/>
    <w:rsid w:val="0062161A"/>
    <w:rPr>
      <w:b/>
      <w:bCs/>
    </w:rPr>
  </w:style>
  <w:style w:type="character" w:customStyle="1" w:styleId="HeaderChar">
    <w:name w:val="Header Char"/>
    <w:basedOn w:val="DefaultParagraphFont"/>
    <w:link w:val="Header"/>
    <w:uiPriority w:val="99"/>
    <w:locked/>
    <w:rsid w:val="00C613D0"/>
    <w:rPr>
      <w:rFonts w:ascii="Arial" w:hAnsi="Arial"/>
      <w:color w:val="00673A"/>
      <w:sz w:val="18"/>
    </w:rPr>
  </w:style>
  <w:style w:type="character" w:styleId="PageNumber">
    <w:name w:val="page number"/>
    <w:basedOn w:val="DefaultParagraphFont"/>
    <w:uiPriority w:val="99"/>
    <w:rsid w:val="00C613D0"/>
    <w:rPr>
      <w:rFonts w:cs="Times New Roman"/>
    </w:rPr>
  </w:style>
  <w:style w:type="paragraph" w:customStyle="1" w:styleId="ChapterHeading">
    <w:name w:val="Chapter Heading"/>
    <w:next w:val="Heading2"/>
    <w:uiPriority w:val="99"/>
    <w:rsid w:val="00C613D0"/>
    <w:pPr>
      <w:numPr>
        <w:ilvl w:val="4"/>
        <w:numId w:val="36"/>
      </w:numPr>
      <w:pBdr>
        <w:top w:val="single" w:sz="4" w:space="1" w:color="auto"/>
        <w:bottom w:val="single" w:sz="4" w:space="1" w:color="auto"/>
      </w:pBdr>
      <w:spacing w:before="240" w:line="260" w:lineRule="atLeast"/>
      <w:ind w:left="0"/>
    </w:pPr>
    <w:rPr>
      <w:rFonts w:ascii="Helvetica" w:hAnsi="Helvetica"/>
      <w:b/>
      <w:i/>
      <w:sz w:val="38"/>
    </w:rPr>
  </w:style>
  <w:style w:type="paragraph" w:customStyle="1" w:styleId="Diagram">
    <w:name w:val="Diagram"/>
    <w:basedOn w:val="Normal"/>
    <w:next w:val="Normal"/>
    <w:uiPriority w:val="99"/>
    <w:rsid w:val="00C613D0"/>
    <w:pPr>
      <w:keepNext/>
      <w:numPr>
        <w:ilvl w:val="3"/>
        <w:numId w:val="36"/>
      </w:numPr>
      <w:spacing w:after="0" w:line="240" w:lineRule="auto"/>
    </w:pPr>
    <w:rPr>
      <w:rFonts w:ascii="Times New Roman" w:hAnsi="Times New Roman"/>
      <w:b/>
      <w:color w:val="auto"/>
    </w:rPr>
  </w:style>
  <w:style w:type="character" w:customStyle="1" w:styleId="FootnoteTextChar">
    <w:name w:val="Footnote Text Char"/>
    <w:basedOn w:val="DefaultParagraphFont"/>
    <w:link w:val="FootnoteText"/>
    <w:uiPriority w:val="99"/>
    <w:rsid w:val="00C613D0"/>
    <w:rPr>
      <w:rFonts w:ascii="Book Antiqua" w:hAnsi="Book Antiqua"/>
      <w:color w:val="000000"/>
      <w:sz w:val="18"/>
    </w:rPr>
  </w:style>
  <w:style w:type="character" w:customStyle="1" w:styleId="CommentTextChar">
    <w:name w:val="Comment Text Char"/>
    <w:basedOn w:val="DefaultParagraphFont"/>
    <w:link w:val="CommentText"/>
    <w:uiPriority w:val="99"/>
    <w:semiHidden/>
    <w:rsid w:val="00C613D0"/>
    <w:rPr>
      <w:rFonts w:ascii="Book Antiqua" w:hAnsi="Book Antiqua"/>
      <w:color w:val="000000"/>
      <w:sz w:val="22"/>
    </w:rPr>
  </w:style>
  <w:style w:type="paragraph" w:styleId="Quote">
    <w:name w:val="Quote"/>
    <w:basedOn w:val="Normal"/>
    <w:next w:val="Normal"/>
    <w:link w:val="QuoteChar"/>
    <w:uiPriority w:val="99"/>
    <w:qFormat/>
    <w:rsid w:val="00C613D0"/>
    <w:pPr>
      <w:ind w:left="567"/>
    </w:pPr>
    <w:rPr>
      <w:i/>
      <w:iCs/>
    </w:rPr>
  </w:style>
  <w:style w:type="character" w:customStyle="1" w:styleId="QuoteChar">
    <w:name w:val="Quote Char"/>
    <w:basedOn w:val="DefaultParagraphFont"/>
    <w:link w:val="Quote"/>
    <w:uiPriority w:val="99"/>
    <w:rsid w:val="00C613D0"/>
    <w:rPr>
      <w:rFonts w:ascii="Book Antiqua" w:hAnsi="Book Antiqua"/>
      <w:i/>
      <w:iCs/>
      <w:color w:val="000000"/>
      <w:sz w:val="22"/>
    </w:rPr>
  </w:style>
  <w:style w:type="table" w:styleId="LightShading-Accent3">
    <w:name w:val="Light Shading Accent 3"/>
    <w:basedOn w:val="TableNormal"/>
    <w:uiPriority w:val="60"/>
    <w:rsid w:val="00C613D0"/>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C127CC"/>
    <w:pPr>
      <w:autoSpaceDE w:val="0"/>
      <w:autoSpaceDN w:val="0"/>
      <w:adjustRightInd w:val="0"/>
    </w:pPr>
    <w:rPr>
      <w:rFonts w:ascii="Calibri" w:hAnsi="Calibri" w:cs="Calibri"/>
      <w:color w:val="000000"/>
      <w:sz w:val="24"/>
      <w:szCs w:val="24"/>
    </w:rPr>
  </w:style>
  <w:style w:type="paragraph" w:styleId="TOCHeading">
    <w:name w:val="TOC Heading"/>
    <w:basedOn w:val="Heading1"/>
    <w:next w:val="Normal"/>
    <w:uiPriority w:val="39"/>
    <w:unhideWhenUsed/>
    <w:qFormat/>
    <w:rsid w:val="00FD33E7"/>
    <w:pPr>
      <w:keepLines/>
      <w:spacing w:before="480" w:after="0" w:line="276" w:lineRule="auto"/>
      <w:outlineLvl w:val="9"/>
    </w:pPr>
    <w:rPr>
      <w:rFonts w:asciiTheme="majorHAnsi" w:eastAsiaTheme="majorEastAsia" w:hAnsiTheme="majorHAnsi" w:cstheme="majorBidi"/>
      <w:smallCaps w:val="0"/>
      <w:color w:val="365F91" w:themeColor="accent1" w:themeShade="BF"/>
      <w:kern w:val="0"/>
      <w:sz w:val="28"/>
      <w:szCs w:val="28"/>
      <w:lang w:val="en-US" w:eastAsia="ja-JP"/>
    </w:rPr>
  </w:style>
  <w:style w:type="paragraph" w:styleId="NormalWeb">
    <w:name w:val="Normal (Web)"/>
    <w:basedOn w:val="Normal"/>
    <w:uiPriority w:val="99"/>
    <w:unhideWhenUsed/>
    <w:rsid w:val="00DF304A"/>
    <w:pPr>
      <w:spacing w:before="100" w:beforeAutospacing="1" w:after="100" w:afterAutospacing="1" w:line="240" w:lineRule="auto"/>
    </w:pPr>
    <w:rPr>
      <w:rFonts w:ascii="Times New Roman" w:eastAsiaTheme="minorEastAsia" w:hAnsi="Times New Roman"/>
      <w:color w:val="auto"/>
      <w:sz w:val="24"/>
      <w:szCs w:val="24"/>
    </w:rPr>
  </w:style>
  <w:style w:type="paragraph" w:styleId="Revision">
    <w:name w:val="Revision"/>
    <w:hidden/>
    <w:uiPriority w:val="99"/>
    <w:semiHidden/>
    <w:rsid w:val="00461621"/>
    <w:rPr>
      <w:rFonts w:ascii="Book Antiqua" w:hAnsi="Book Antiqua"/>
      <w:color w:val="000000"/>
      <w:sz w:val="22"/>
    </w:rPr>
  </w:style>
  <w:style w:type="numbering" w:customStyle="1" w:styleId="RecommendationList">
    <w:name w:val="Recommendation List"/>
    <w:uiPriority w:val="99"/>
    <w:rsid w:val="00CD5A79"/>
    <w:pPr>
      <w:numPr>
        <w:numId w:val="43"/>
      </w:numPr>
    </w:pPr>
  </w:style>
  <w:style w:type="character" w:customStyle="1" w:styleId="st1">
    <w:name w:val="st1"/>
    <w:basedOn w:val="DefaultParagraphFont"/>
    <w:rsid w:val="00CD2003"/>
  </w:style>
  <w:style w:type="paragraph" w:customStyle="1" w:styleId="bitemheadings">
    <w:name w:val="bitemheadings"/>
    <w:basedOn w:val="Normal"/>
    <w:uiPriority w:val="99"/>
    <w:rsid w:val="00D33831"/>
    <w:pPr>
      <w:spacing w:before="100" w:beforeAutospacing="1" w:after="100" w:afterAutospacing="1" w:line="240" w:lineRule="auto"/>
    </w:pPr>
    <w:rPr>
      <w:rFonts w:ascii="Times New Roman" w:eastAsia="Calibri" w:hAnsi="Times New Roman"/>
      <w:color w:val="auto"/>
      <w:sz w:val="24"/>
      <w:szCs w:val="24"/>
    </w:rPr>
  </w:style>
  <w:style w:type="paragraph" w:customStyle="1" w:styleId="bbodytext0">
    <w:name w:val="bbodytext"/>
    <w:basedOn w:val="Normal"/>
    <w:uiPriority w:val="99"/>
    <w:rsid w:val="00D33831"/>
    <w:pPr>
      <w:spacing w:before="100" w:beforeAutospacing="1" w:after="100" w:afterAutospacing="1" w:line="240" w:lineRule="auto"/>
    </w:pPr>
    <w:rPr>
      <w:rFonts w:ascii="Times New Roman" w:eastAsia="Calibri" w:hAnsi="Times New Roman"/>
      <w:color w:val="auto"/>
      <w:sz w:val="24"/>
      <w:szCs w:val="24"/>
    </w:rPr>
  </w:style>
  <w:style w:type="paragraph" w:customStyle="1" w:styleId="FooterBase">
    <w:name w:val="Footer Base"/>
    <w:rsid w:val="005F2657"/>
    <w:rPr>
      <w:rFonts w:ascii="Arial" w:hAnsi="Arial"/>
    </w:rPr>
  </w:style>
  <w:style w:type="character" w:styleId="HTMLCite">
    <w:name w:val="HTML Cite"/>
    <w:basedOn w:val="DefaultParagraphFont"/>
    <w:uiPriority w:val="99"/>
    <w:unhideWhenUsed/>
    <w:rsid w:val="002D5C8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caption" w:uiPriority="99" w:qFormat="1"/>
    <w:lsdException w:name="footnote reference" w:uiPriority="99"/>
    <w:lsdException w:name="annotation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161A"/>
    <w:pPr>
      <w:spacing w:after="240" w:line="280" w:lineRule="exact"/>
    </w:pPr>
    <w:rPr>
      <w:rFonts w:ascii="Book Antiqua" w:hAnsi="Book Antiqua"/>
      <w:color w:val="000000"/>
      <w:sz w:val="22"/>
    </w:rPr>
  </w:style>
  <w:style w:type="paragraph" w:styleId="Heading1">
    <w:name w:val="heading 1"/>
    <w:basedOn w:val="HeadingBase"/>
    <w:next w:val="Normal"/>
    <w:link w:val="Heading1Char"/>
    <w:uiPriority w:val="99"/>
    <w:qFormat/>
    <w:rsid w:val="00CD565E"/>
    <w:pPr>
      <w:spacing w:before="720" w:after="360"/>
      <w:outlineLvl w:val="0"/>
    </w:pPr>
    <w:rPr>
      <w:rFonts w:cs="Arial"/>
      <w:b/>
      <w:bCs/>
      <w:smallCaps/>
      <w:kern w:val="32"/>
      <w:sz w:val="36"/>
      <w:szCs w:val="36"/>
    </w:rPr>
  </w:style>
  <w:style w:type="paragraph" w:styleId="Heading2">
    <w:name w:val="heading 2"/>
    <w:basedOn w:val="HeadingBase"/>
    <w:next w:val="Normal"/>
    <w:link w:val="Heading2Char"/>
    <w:uiPriority w:val="99"/>
    <w:qFormat/>
    <w:rsid w:val="002A2C88"/>
    <w:pPr>
      <w:spacing w:before="360" w:after="180"/>
      <w:outlineLvl w:val="1"/>
    </w:pPr>
    <w:rPr>
      <w:rFonts w:cs="Arial"/>
      <w:b/>
      <w:bCs/>
      <w:iCs/>
      <w:smallCaps/>
      <w:sz w:val="28"/>
      <w:szCs w:val="28"/>
    </w:rPr>
  </w:style>
  <w:style w:type="paragraph" w:styleId="Heading3">
    <w:name w:val="heading 3"/>
    <w:basedOn w:val="HeadingBase"/>
    <w:next w:val="Normal"/>
    <w:link w:val="Heading3Char"/>
    <w:uiPriority w:val="99"/>
    <w:qFormat/>
    <w:rsid w:val="002A2C88"/>
    <w:pPr>
      <w:spacing w:before="240" w:after="120"/>
      <w:outlineLvl w:val="2"/>
    </w:pPr>
    <w:rPr>
      <w:rFonts w:cs="Arial"/>
      <w:b/>
      <w:bCs/>
      <w:sz w:val="26"/>
      <w:szCs w:val="26"/>
    </w:rPr>
  </w:style>
  <w:style w:type="paragraph" w:styleId="Heading4">
    <w:name w:val="heading 4"/>
    <w:basedOn w:val="HeadingBase"/>
    <w:next w:val="Normal"/>
    <w:qFormat/>
    <w:rsid w:val="007D08F3"/>
    <w:pPr>
      <w:spacing w:before="120" w:after="240"/>
      <w:outlineLvl w:val="3"/>
    </w:pPr>
    <w:rPr>
      <w:b/>
      <w:bCs/>
      <w:sz w:val="22"/>
      <w:szCs w:val="22"/>
    </w:rPr>
  </w:style>
  <w:style w:type="paragraph" w:styleId="Heading5">
    <w:name w:val="heading 5"/>
    <w:basedOn w:val="HeadingBase"/>
    <w:next w:val="Normal"/>
    <w:qFormat/>
    <w:rsid w:val="007D08F3"/>
    <w:pPr>
      <w:spacing w:after="120"/>
      <w:outlineLvl w:val="4"/>
    </w:pPr>
    <w:rPr>
      <w:b/>
      <w:bCs/>
      <w:iCs/>
    </w:rPr>
  </w:style>
  <w:style w:type="paragraph" w:styleId="Heading6">
    <w:name w:val="heading 6"/>
    <w:basedOn w:val="HeadingBase"/>
    <w:next w:val="Normal"/>
    <w:qFormat/>
    <w:rsid w:val="007D08F3"/>
    <w:pPr>
      <w:spacing w:after="120"/>
      <w:outlineLvl w:val="5"/>
    </w:pPr>
    <w:rPr>
      <w:bCs/>
      <w:szCs w:val="22"/>
    </w:rPr>
  </w:style>
  <w:style w:type="paragraph" w:styleId="Heading7">
    <w:name w:val="heading 7"/>
    <w:basedOn w:val="HeadingBase"/>
    <w:next w:val="Normal"/>
    <w:qFormat/>
    <w:rsid w:val="007D08F3"/>
    <w:pPr>
      <w:spacing w:after="120"/>
      <w:outlineLvl w:val="6"/>
    </w:pPr>
    <w:rPr>
      <w:szCs w:val="24"/>
    </w:rPr>
  </w:style>
  <w:style w:type="paragraph" w:styleId="Heading8">
    <w:name w:val="heading 8"/>
    <w:basedOn w:val="HeadingBase"/>
    <w:next w:val="Normal"/>
    <w:qFormat/>
    <w:rsid w:val="007D08F3"/>
    <w:pPr>
      <w:spacing w:after="120"/>
      <w:outlineLvl w:val="7"/>
    </w:pPr>
    <w:rPr>
      <w:iCs/>
      <w:szCs w:val="24"/>
    </w:rPr>
  </w:style>
  <w:style w:type="paragraph" w:styleId="Heading9">
    <w:name w:val="heading 9"/>
    <w:basedOn w:val="HeadingBase"/>
    <w:next w:val="Normal"/>
    <w:qFormat/>
    <w:rsid w:val="007D08F3"/>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7D08F3"/>
    <w:pPr>
      <w:spacing w:after="0"/>
    </w:pPr>
  </w:style>
  <w:style w:type="character" w:styleId="Hyperlink">
    <w:name w:val="Hyperlink"/>
    <w:basedOn w:val="DefaultParagraphFont"/>
    <w:uiPriority w:val="99"/>
    <w:rsid w:val="007D08F3"/>
    <w:rPr>
      <w:color w:val="auto"/>
      <w:u w:val="none"/>
    </w:rPr>
  </w:style>
  <w:style w:type="character" w:customStyle="1" w:styleId="BoldandItalic">
    <w:name w:val="Bold and Italic"/>
    <w:basedOn w:val="DefaultParagraphFont"/>
    <w:rsid w:val="007D08F3"/>
    <w:rPr>
      <w:rFonts w:ascii="Arial" w:hAnsi="Arial"/>
      <w:b/>
      <w:i/>
    </w:rPr>
  </w:style>
  <w:style w:type="table" w:styleId="TableGrid">
    <w:name w:val="Table Grid"/>
    <w:basedOn w:val="TableNormal"/>
    <w:rsid w:val="007D08F3"/>
    <w:pPr>
      <w:spacing w:after="240" w:line="260" w:lineRule="exact"/>
      <w:jc w:val="both"/>
    </w:pPr>
    <w:tblPr>
      <w:tblInd w:w="0" w:type="dxa"/>
      <w:tblCellMar>
        <w:top w:w="0" w:type="dxa"/>
        <w:left w:w="108" w:type="dxa"/>
        <w:bottom w:w="0" w:type="dxa"/>
        <w:right w:w="108" w:type="dxa"/>
      </w:tblCellMar>
    </w:tblPr>
    <w:tcPr>
      <w:shd w:val="clear" w:color="auto" w:fill="E6E6E6"/>
    </w:tcPr>
  </w:style>
  <w:style w:type="paragraph" w:customStyle="1" w:styleId="TableColumnHeadingBase">
    <w:name w:val="Table Column Heading Base"/>
    <w:basedOn w:val="Normal"/>
    <w:rsid w:val="00EB2A00"/>
    <w:pPr>
      <w:spacing w:before="40" w:after="40" w:line="240" w:lineRule="auto"/>
    </w:pPr>
    <w:rPr>
      <w:rFonts w:ascii="Arial Bold" w:hAnsi="Arial Bold"/>
      <w:b/>
      <w:sz w:val="16"/>
    </w:rPr>
  </w:style>
  <w:style w:type="paragraph" w:styleId="FootnoteText">
    <w:name w:val="footnote text"/>
    <w:basedOn w:val="Normal"/>
    <w:link w:val="FootnoteTextChar"/>
    <w:uiPriority w:val="99"/>
    <w:rsid w:val="007D08F3"/>
    <w:pPr>
      <w:tabs>
        <w:tab w:val="left" w:pos="284"/>
      </w:tabs>
      <w:spacing w:after="0" w:line="240" w:lineRule="auto"/>
      <w:ind w:left="284" w:hanging="284"/>
    </w:pPr>
    <w:rPr>
      <w:sz w:val="18"/>
    </w:rPr>
  </w:style>
  <w:style w:type="paragraph" w:customStyle="1" w:styleId="Bullet">
    <w:name w:val="Bullet"/>
    <w:basedOn w:val="Normal"/>
    <w:link w:val="BulletChar"/>
    <w:rsid w:val="007D08F3"/>
    <w:pPr>
      <w:numPr>
        <w:numId w:val="1"/>
      </w:numPr>
    </w:pPr>
  </w:style>
  <w:style w:type="paragraph" w:customStyle="1" w:styleId="Dash">
    <w:name w:val="Dash"/>
    <w:basedOn w:val="Normal"/>
    <w:link w:val="DashChar"/>
    <w:rsid w:val="007D08F3"/>
    <w:pPr>
      <w:numPr>
        <w:ilvl w:val="1"/>
        <w:numId w:val="1"/>
      </w:numPr>
    </w:pPr>
  </w:style>
  <w:style w:type="paragraph" w:customStyle="1" w:styleId="DoubleDot">
    <w:name w:val="Double Dot"/>
    <w:basedOn w:val="Normal"/>
    <w:link w:val="DoubleDotChar"/>
    <w:rsid w:val="007D08F3"/>
    <w:pPr>
      <w:numPr>
        <w:ilvl w:val="2"/>
        <w:numId w:val="1"/>
      </w:numPr>
    </w:pPr>
  </w:style>
  <w:style w:type="paragraph" w:customStyle="1" w:styleId="OutlineNumbered1">
    <w:name w:val="Outline Numbered 1"/>
    <w:basedOn w:val="Normal"/>
    <w:uiPriority w:val="99"/>
    <w:rsid w:val="00E07913"/>
  </w:style>
  <w:style w:type="paragraph" w:customStyle="1" w:styleId="OutlineNumbered2">
    <w:name w:val="Outline Numbered 2"/>
    <w:basedOn w:val="Normal"/>
    <w:rsid w:val="00E07913"/>
    <w:pPr>
      <w:numPr>
        <w:ilvl w:val="1"/>
        <w:numId w:val="2"/>
      </w:numPr>
    </w:pPr>
  </w:style>
  <w:style w:type="paragraph" w:customStyle="1" w:styleId="OutlineNumbered3">
    <w:name w:val="Outline Numbered 3"/>
    <w:basedOn w:val="Normal"/>
    <w:rsid w:val="00E07913"/>
    <w:pPr>
      <w:numPr>
        <w:ilvl w:val="2"/>
        <w:numId w:val="2"/>
      </w:numPr>
    </w:pPr>
  </w:style>
  <w:style w:type="paragraph" w:customStyle="1" w:styleId="AlphaParagraph">
    <w:name w:val="Alpha Paragraph"/>
    <w:basedOn w:val="Normal"/>
    <w:uiPriority w:val="99"/>
    <w:rsid w:val="007D08F3"/>
    <w:pPr>
      <w:numPr>
        <w:numId w:val="3"/>
      </w:numPr>
      <w:tabs>
        <w:tab w:val="clear" w:pos="567"/>
        <w:tab w:val="num" w:pos="283"/>
      </w:tabs>
      <w:ind w:left="283" w:hanging="283"/>
    </w:pPr>
  </w:style>
  <w:style w:type="paragraph" w:customStyle="1" w:styleId="HeadingBase">
    <w:name w:val="Heading Base"/>
    <w:next w:val="Normal"/>
    <w:rsid w:val="00EF78EF"/>
    <w:pPr>
      <w:keepNext/>
    </w:pPr>
    <w:rPr>
      <w:rFonts w:ascii="Arial" w:hAnsi="Arial"/>
      <w:color w:val="00673A"/>
    </w:rPr>
  </w:style>
  <w:style w:type="paragraph" w:customStyle="1" w:styleId="AppendixHeading">
    <w:name w:val="Appendix Heading"/>
    <w:basedOn w:val="HeadingBase"/>
    <w:next w:val="Normal"/>
    <w:rsid w:val="00EB2A00"/>
    <w:pPr>
      <w:spacing w:before="720" w:after="360"/>
      <w:outlineLvl w:val="0"/>
    </w:pPr>
    <w:rPr>
      <w:rFonts w:ascii="Arial Bold" w:hAnsi="Arial Bold"/>
      <w:b/>
      <w:smallCaps/>
      <w:sz w:val="36"/>
      <w:szCs w:val="36"/>
    </w:rPr>
  </w:style>
  <w:style w:type="character" w:customStyle="1" w:styleId="Bold">
    <w:name w:val="Bold"/>
    <w:basedOn w:val="DefaultParagraphFont"/>
    <w:rsid w:val="007D08F3"/>
    <w:rPr>
      <w:b/>
    </w:rPr>
  </w:style>
  <w:style w:type="paragraph" w:customStyle="1" w:styleId="BoxHeading">
    <w:name w:val="Box Heading"/>
    <w:basedOn w:val="HeadingBase"/>
    <w:next w:val="BoxText"/>
    <w:rsid w:val="00CD565E"/>
    <w:pPr>
      <w:spacing w:before="240" w:after="120"/>
    </w:pPr>
    <w:rPr>
      <w:b/>
      <w:sz w:val="22"/>
    </w:rPr>
  </w:style>
  <w:style w:type="paragraph" w:customStyle="1" w:styleId="BoxTextBase">
    <w:name w:val="Box Text Base"/>
    <w:basedOn w:val="Normal"/>
    <w:rsid w:val="00CD565E"/>
    <w:pPr>
      <w:spacing w:before="120" w:after="120"/>
    </w:pPr>
  </w:style>
  <w:style w:type="paragraph" w:customStyle="1" w:styleId="ChartandTableFootnoteAlpha">
    <w:name w:val="Chart and Table Footnote Alpha"/>
    <w:rsid w:val="007D08F3"/>
    <w:pPr>
      <w:numPr>
        <w:numId w:val="4"/>
      </w:numPr>
      <w:jc w:val="both"/>
    </w:pPr>
    <w:rPr>
      <w:rFonts w:ascii="Arial" w:hAnsi="Arial"/>
      <w:color w:val="000000"/>
      <w:sz w:val="16"/>
      <w:szCs w:val="16"/>
    </w:rPr>
  </w:style>
  <w:style w:type="paragraph" w:customStyle="1" w:styleId="ChartGraphic">
    <w:name w:val="Chart Graphic"/>
    <w:basedOn w:val="HeadingBase"/>
    <w:next w:val="Normal"/>
    <w:rsid w:val="007D08F3"/>
    <w:pPr>
      <w:jc w:val="center"/>
    </w:pPr>
  </w:style>
  <w:style w:type="paragraph" w:customStyle="1" w:styleId="ChartMainHeading">
    <w:name w:val="Chart Main Heading"/>
    <w:basedOn w:val="HeadingBase"/>
    <w:next w:val="ChartGraphic"/>
    <w:rsid w:val="007D08F3"/>
    <w:pPr>
      <w:spacing w:after="20"/>
      <w:jc w:val="center"/>
    </w:pPr>
    <w:rPr>
      <w:b/>
      <w:sz w:val="22"/>
    </w:rPr>
  </w:style>
  <w:style w:type="paragraph" w:customStyle="1" w:styleId="ChartorTableNote">
    <w:name w:val="Chart or Table Note"/>
    <w:next w:val="Normal"/>
    <w:uiPriority w:val="99"/>
    <w:rsid w:val="007D08F3"/>
    <w:pPr>
      <w:jc w:val="both"/>
    </w:pPr>
    <w:rPr>
      <w:rFonts w:ascii="Arial" w:hAnsi="Arial"/>
      <w:color w:val="000000"/>
      <w:sz w:val="16"/>
    </w:rPr>
  </w:style>
  <w:style w:type="paragraph" w:customStyle="1" w:styleId="ChartSecondHeading">
    <w:name w:val="Chart Second Heading"/>
    <w:basedOn w:val="HeadingBase"/>
    <w:next w:val="ChartGraphic"/>
    <w:rsid w:val="00CD565E"/>
    <w:pPr>
      <w:spacing w:after="20"/>
      <w:jc w:val="center"/>
    </w:pPr>
  </w:style>
  <w:style w:type="paragraph" w:customStyle="1" w:styleId="Classification">
    <w:name w:val="Classification"/>
    <w:basedOn w:val="HeadingBase"/>
    <w:next w:val="Footer"/>
    <w:semiHidden/>
    <w:rsid w:val="007D08F3"/>
    <w:pPr>
      <w:spacing w:after="120"/>
      <w:jc w:val="center"/>
    </w:pPr>
    <w:rPr>
      <w:b/>
      <w:smallCaps/>
    </w:rPr>
  </w:style>
  <w:style w:type="paragraph" w:styleId="Footer">
    <w:name w:val="footer"/>
    <w:basedOn w:val="HeadingBase"/>
    <w:rsid w:val="007D08F3"/>
    <w:rPr>
      <w:sz w:val="18"/>
    </w:rPr>
  </w:style>
  <w:style w:type="paragraph" w:customStyle="1" w:styleId="ContentsHeading">
    <w:name w:val="Contents Heading"/>
    <w:basedOn w:val="HeadingBase"/>
    <w:next w:val="Normal"/>
    <w:rsid w:val="007D08F3"/>
    <w:pPr>
      <w:spacing w:after="360"/>
    </w:pPr>
    <w:rPr>
      <w:smallCaps/>
      <w:sz w:val="36"/>
      <w:szCs w:val="36"/>
    </w:rPr>
  </w:style>
  <w:style w:type="paragraph" w:customStyle="1" w:styleId="CoverTitleMain">
    <w:name w:val="Cover Title Main"/>
    <w:basedOn w:val="HeadingBase"/>
    <w:next w:val="Normal"/>
    <w:rsid w:val="005F15FE"/>
    <w:pPr>
      <w:spacing w:after="480"/>
      <w:jc w:val="right"/>
    </w:pPr>
    <w:rPr>
      <w:rFonts w:ascii="Arial Bold" w:hAnsi="Arial Bold"/>
      <w:b/>
      <w:sz w:val="72"/>
    </w:rPr>
  </w:style>
  <w:style w:type="paragraph" w:customStyle="1" w:styleId="CoverTitleSub">
    <w:name w:val="Cover Title Sub"/>
    <w:basedOn w:val="HeadingBase"/>
    <w:rsid w:val="005F15FE"/>
    <w:pPr>
      <w:spacing w:after="360"/>
      <w:jc w:val="right"/>
    </w:pPr>
    <w:rPr>
      <w:sz w:val="36"/>
    </w:rPr>
  </w:style>
  <w:style w:type="paragraph" w:customStyle="1" w:styleId="FooterCentered">
    <w:name w:val="Footer Centered"/>
    <w:basedOn w:val="Footer"/>
    <w:uiPriority w:val="99"/>
    <w:rsid w:val="007D08F3"/>
    <w:pPr>
      <w:jc w:val="center"/>
    </w:pPr>
  </w:style>
  <w:style w:type="paragraph" w:customStyle="1" w:styleId="FooterEven">
    <w:name w:val="Footer Even"/>
    <w:basedOn w:val="Footer"/>
    <w:uiPriority w:val="99"/>
    <w:rsid w:val="007D08F3"/>
  </w:style>
  <w:style w:type="paragraph" w:customStyle="1" w:styleId="FooterOdd">
    <w:name w:val="Footer Odd"/>
    <w:basedOn w:val="Footer"/>
    <w:uiPriority w:val="99"/>
    <w:rsid w:val="007D08F3"/>
    <w:pPr>
      <w:jc w:val="right"/>
    </w:pPr>
  </w:style>
  <w:style w:type="character" w:customStyle="1" w:styleId="FramedFooter">
    <w:name w:val="Framed Footer"/>
    <w:rsid w:val="007D08F3"/>
    <w:rPr>
      <w:rFonts w:ascii="Arial" w:hAnsi="Arial"/>
      <w:sz w:val="18"/>
    </w:rPr>
  </w:style>
  <w:style w:type="character" w:customStyle="1" w:styleId="FramedHeader">
    <w:name w:val="Framed Header"/>
    <w:basedOn w:val="DefaultParagraphFont"/>
    <w:rsid w:val="007D08F3"/>
    <w:rPr>
      <w:rFonts w:ascii="Arial" w:hAnsi="Arial"/>
      <w:dstrike w:val="0"/>
      <w:color w:val="auto"/>
      <w:sz w:val="18"/>
      <w:vertAlign w:val="baseline"/>
    </w:rPr>
  </w:style>
  <w:style w:type="paragraph" w:styleId="Header">
    <w:name w:val="header"/>
    <w:basedOn w:val="HeadingBase"/>
    <w:link w:val="HeaderChar"/>
    <w:uiPriority w:val="99"/>
    <w:rsid w:val="007D08F3"/>
    <w:rPr>
      <w:sz w:val="18"/>
    </w:rPr>
  </w:style>
  <w:style w:type="paragraph" w:customStyle="1" w:styleId="HeaderEven">
    <w:name w:val="Header Even"/>
    <w:basedOn w:val="Header"/>
    <w:uiPriority w:val="99"/>
    <w:rsid w:val="007D08F3"/>
  </w:style>
  <w:style w:type="paragraph" w:customStyle="1" w:styleId="HeaderOdd">
    <w:name w:val="Header Odd"/>
    <w:basedOn w:val="Header"/>
    <w:rsid w:val="007D08F3"/>
    <w:pPr>
      <w:jc w:val="right"/>
    </w:pPr>
  </w:style>
  <w:style w:type="paragraph" w:styleId="NormalIndent">
    <w:name w:val="Normal Indent"/>
    <w:basedOn w:val="Normal"/>
    <w:rsid w:val="00CD565E"/>
    <w:pPr>
      <w:ind w:left="567"/>
    </w:pPr>
  </w:style>
  <w:style w:type="paragraph" w:customStyle="1" w:styleId="RecommendationHeading">
    <w:name w:val="Recommendation Heading"/>
    <w:basedOn w:val="HeadingBase"/>
    <w:next w:val="RecommendationText"/>
    <w:rsid w:val="007D08F3"/>
    <w:pPr>
      <w:spacing w:before="120" w:after="240"/>
    </w:pPr>
    <w:rPr>
      <w:b/>
      <w:sz w:val="22"/>
    </w:rPr>
  </w:style>
  <w:style w:type="paragraph" w:customStyle="1" w:styleId="RecommendationTextBase">
    <w:name w:val="Recommendation Text Base"/>
    <w:basedOn w:val="Normal"/>
    <w:rsid w:val="007C2061"/>
    <w:rPr>
      <w:i/>
    </w:rPr>
  </w:style>
  <w:style w:type="paragraph" w:customStyle="1" w:styleId="RecommendationText">
    <w:name w:val="Recommendation Text"/>
    <w:basedOn w:val="RecommendationTextBase"/>
    <w:rsid w:val="007D08F3"/>
  </w:style>
  <w:style w:type="paragraph" w:customStyle="1" w:styleId="TableTextBase">
    <w:name w:val="Table Text Base"/>
    <w:rsid w:val="007D08F3"/>
    <w:pPr>
      <w:spacing w:before="40" w:after="40"/>
    </w:pPr>
    <w:rPr>
      <w:rFonts w:ascii="Arial" w:hAnsi="Arial"/>
      <w:color w:val="000000"/>
      <w:sz w:val="16"/>
    </w:rPr>
  </w:style>
  <w:style w:type="paragraph" w:customStyle="1" w:styleId="TableColumnHeadingCentred">
    <w:name w:val="Table Column Heading Centred"/>
    <w:basedOn w:val="TableColumnHeadingBase"/>
    <w:rsid w:val="00EB2A00"/>
    <w:pPr>
      <w:jc w:val="center"/>
    </w:pPr>
    <w:rPr>
      <w:rFonts w:ascii="Arial" w:hAnsi="Arial"/>
    </w:rPr>
  </w:style>
  <w:style w:type="paragraph" w:customStyle="1" w:styleId="TableColumnHeadingLeft">
    <w:name w:val="Table Column Heading Left"/>
    <w:basedOn w:val="TableColumnHeadingBase"/>
    <w:rsid w:val="00EB2A00"/>
  </w:style>
  <w:style w:type="paragraph" w:customStyle="1" w:styleId="TableColumnHeadingRight">
    <w:name w:val="Table Column Heading Right"/>
    <w:basedOn w:val="TableColumnHeadingBase"/>
    <w:rsid w:val="00EB2A00"/>
    <w:pPr>
      <w:jc w:val="right"/>
    </w:pPr>
  </w:style>
  <w:style w:type="paragraph" w:customStyle="1" w:styleId="TableGraphic">
    <w:name w:val="Table Graphic"/>
    <w:basedOn w:val="HeadingBase"/>
    <w:next w:val="Normal"/>
    <w:rsid w:val="007D08F3"/>
  </w:style>
  <w:style w:type="paragraph" w:customStyle="1" w:styleId="TableMainHeading">
    <w:name w:val="Table Main Heading"/>
    <w:basedOn w:val="HeadingBase"/>
    <w:next w:val="TableGraphic"/>
    <w:rsid w:val="007D08F3"/>
    <w:pPr>
      <w:spacing w:after="20"/>
    </w:pPr>
    <w:rPr>
      <w:b/>
      <w:sz w:val="22"/>
    </w:rPr>
  </w:style>
  <w:style w:type="paragraph" w:customStyle="1" w:styleId="TableMainHeadingContd">
    <w:name w:val="Table Main Heading Contd"/>
    <w:basedOn w:val="HeadingBase"/>
    <w:next w:val="TableGraphic"/>
    <w:rsid w:val="00EB2A00"/>
    <w:pPr>
      <w:pageBreakBefore/>
      <w:spacing w:after="20"/>
    </w:pPr>
    <w:rPr>
      <w:b/>
      <w:sz w:val="22"/>
    </w:rPr>
  </w:style>
  <w:style w:type="paragraph" w:customStyle="1" w:styleId="TableSecondHeading">
    <w:name w:val="Table Second Heading"/>
    <w:basedOn w:val="HeadingBase"/>
    <w:next w:val="TableGraphic"/>
    <w:rsid w:val="007D08F3"/>
    <w:pPr>
      <w:spacing w:after="20"/>
    </w:pPr>
  </w:style>
  <w:style w:type="paragraph" w:customStyle="1" w:styleId="TableTextCentered">
    <w:name w:val="Table Text Centered"/>
    <w:basedOn w:val="TableTextBase"/>
    <w:rsid w:val="007D08F3"/>
    <w:pPr>
      <w:jc w:val="center"/>
    </w:pPr>
  </w:style>
  <w:style w:type="paragraph" w:customStyle="1" w:styleId="TableTextIndented">
    <w:name w:val="Table Text Indented"/>
    <w:basedOn w:val="TableTextBase"/>
    <w:rsid w:val="007D08F3"/>
    <w:pPr>
      <w:ind w:left="284"/>
    </w:pPr>
  </w:style>
  <w:style w:type="paragraph" w:customStyle="1" w:styleId="TableTextLeft">
    <w:name w:val="Table Text Left"/>
    <w:basedOn w:val="TableTextBase"/>
    <w:rsid w:val="007D08F3"/>
  </w:style>
  <w:style w:type="paragraph" w:customStyle="1" w:styleId="TableTextRight">
    <w:name w:val="Table Text Right"/>
    <w:basedOn w:val="TableTextBase"/>
    <w:rsid w:val="007D08F3"/>
    <w:pPr>
      <w:jc w:val="right"/>
    </w:pPr>
  </w:style>
  <w:style w:type="paragraph" w:styleId="TOC1">
    <w:name w:val="toc 1"/>
    <w:basedOn w:val="HeadingBase"/>
    <w:next w:val="Normal"/>
    <w:uiPriority w:val="39"/>
    <w:rsid w:val="007D08F3"/>
    <w:pPr>
      <w:tabs>
        <w:tab w:val="right" w:leader="dot" w:pos="9072"/>
      </w:tabs>
      <w:spacing w:before="180"/>
      <w:ind w:right="851"/>
    </w:pPr>
    <w:rPr>
      <w:b/>
      <w:smallCaps/>
      <w:sz w:val="22"/>
      <w:szCs w:val="22"/>
    </w:rPr>
  </w:style>
  <w:style w:type="paragraph" w:styleId="TOC2">
    <w:name w:val="toc 2"/>
    <w:basedOn w:val="HeadingBase"/>
    <w:next w:val="Normal"/>
    <w:uiPriority w:val="39"/>
    <w:rsid w:val="007D08F3"/>
    <w:pPr>
      <w:tabs>
        <w:tab w:val="right" w:leader="dot" w:pos="9072"/>
      </w:tabs>
      <w:spacing w:before="40" w:after="20"/>
      <w:ind w:right="851"/>
    </w:pPr>
  </w:style>
  <w:style w:type="paragraph" w:styleId="TOC3">
    <w:name w:val="toc 3"/>
    <w:basedOn w:val="Normal"/>
    <w:next w:val="Normal"/>
    <w:uiPriority w:val="39"/>
    <w:rsid w:val="00CD565E"/>
    <w:pPr>
      <w:tabs>
        <w:tab w:val="right" w:leader="dot" w:pos="9072"/>
      </w:tabs>
      <w:spacing w:before="20" w:after="0" w:line="240" w:lineRule="auto"/>
      <w:ind w:left="284" w:right="851"/>
    </w:pPr>
    <w:rPr>
      <w:rFonts w:ascii="Arial" w:hAnsi="Arial"/>
      <w:sz w:val="20"/>
    </w:rPr>
  </w:style>
  <w:style w:type="paragraph" w:styleId="TOC4">
    <w:name w:val="toc 4"/>
    <w:basedOn w:val="Normal"/>
    <w:next w:val="Normal"/>
    <w:rsid w:val="007D08F3"/>
    <w:pPr>
      <w:tabs>
        <w:tab w:val="right" w:leader="dot" w:pos="9072"/>
      </w:tabs>
      <w:spacing w:after="0" w:line="240" w:lineRule="auto"/>
      <w:ind w:left="284" w:right="851"/>
    </w:pPr>
  </w:style>
  <w:style w:type="character" w:customStyle="1" w:styleId="italic">
    <w:name w:val="italic"/>
    <w:basedOn w:val="DefaultParagraphFont"/>
    <w:rsid w:val="007D08F3"/>
    <w:rPr>
      <w:i/>
    </w:rPr>
  </w:style>
  <w:style w:type="paragraph" w:customStyle="1" w:styleId="OneLevelNumberedParagraph">
    <w:name w:val="One Level Numbered Paragraph"/>
    <w:basedOn w:val="Normal"/>
    <w:rsid w:val="007D08F3"/>
    <w:pPr>
      <w:numPr>
        <w:numId w:val="10"/>
      </w:numPr>
    </w:pPr>
  </w:style>
  <w:style w:type="paragraph" w:customStyle="1" w:styleId="BoxText">
    <w:name w:val="Box Text"/>
    <w:basedOn w:val="BoxTextBase"/>
    <w:rsid w:val="007D08F3"/>
  </w:style>
  <w:style w:type="paragraph" w:customStyle="1" w:styleId="BoxBullet">
    <w:name w:val="Box Bullet"/>
    <w:basedOn w:val="BoxTextBase"/>
    <w:uiPriority w:val="99"/>
    <w:rsid w:val="007D08F3"/>
    <w:pPr>
      <w:numPr>
        <w:numId w:val="9"/>
      </w:numPr>
    </w:pPr>
  </w:style>
  <w:style w:type="paragraph" w:customStyle="1" w:styleId="BoxDash">
    <w:name w:val="Box Dash"/>
    <w:basedOn w:val="Normal"/>
    <w:uiPriority w:val="99"/>
    <w:rsid w:val="007D08F3"/>
    <w:pPr>
      <w:numPr>
        <w:ilvl w:val="1"/>
        <w:numId w:val="9"/>
      </w:numPr>
    </w:pPr>
  </w:style>
  <w:style w:type="paragraph" w:customStyle="1" w:styleId="BoxDoubleDot">
    <w:name w:val="Box Double Dot"/>
    <w:basedOn w:val="BoxTextBase"/>
    <w:uiPriority w:val="99"/>
    <w:rsid w:val="007D08F3"/>
    <w:pPr>
      <w:numPr>
        <w:ilvl w:val="2"/>
        <w:numId w:val="9"/>
      </w:numPr>
    </w:pPr>
  </w:style>
  <w:style w:type="paragraph" w:customStyle="1" w:styleId="RecommendationBullet">
    <w:name w:val="Recommendation Bullet"/>
    <w:basedOn w:val="RecommendationTextBase"/>
    <w:rsid w:val="007D08F3"/>
    <w:pPr>
      <w:numPr>
        <w:numId w:val="11"/>
      </w:numPr>
    </w:pPr>
  </w:style>
  <w:style w:type="paragraph" w:customStyle="1" w:styleId="RecommendationDash">
    <w:name w:val="Recommendation Dash"/>
    <w:basedOn w:val="RecommendationTextBase"/>
    <w:rsid w:val="007D08F3"/>
    <w:pPr>
      <w:numPr>
        <w:ilvl w:val="1"/>
        <w:numId w:val="11"/>
      </w:numPr>
    </w:pPr>
  </w:style>
  <w:style w:type="paragraph" w:customStyle="1" w:styleId="RecommendationDoubleDot">
    <w:name w:val="Recommendation Double Dot"/>
    <w:basedOn w:val="RecommendationTextBase"/>
    <w:rsid w:val="007D08F3"/>
    <w:pPr>
      <w:numPr>
        <w:ilvl w:val="2"/>
        <w:numId w:val="11"/>
      </w:numPr>
    </w:pPr>
  </w:style>
  <w:style w:type="character" w:styleId="FollowedHyperlink">
    <w:name w:val="FollowedHyperlink"/>
    <w:basedOn w:val="DefaultParagraphFont"/>
    <w:rsid w:val="007D08F3"/>
    <w:rPr>
      <w:color w:val="auto"/>
      <w:u w:val="none"/>
    </w:rPr>
  </w:style>
  <w:style w:type="paragraph" w:customStyle="1" w:styleId="Heading1NotNumbered">
    <w:name w:val="Heading 1 Not Numbered"/>
    <w:basedOn w:val="HeadingBase"/>
    <w:next w:val="Normal"/>
    <w:rsid w:val="007D08F3"/>
    <w:pPr>
      <w:spacing w:before="720" w:after="360"/>
    </w:pPr>
    <w:rPr>
      <w:rFonts w:ascii="Arial Bold" w:hAnsi="Arial Bold"/>
      <w:b/>
      <w:smallCaps/>
      <w:sz w:val="36"/>
      <w:szCs w:val="36"/>
    </w:rPr>
  </w:style>
  <w:style w:type="paragraph" w:customStyle="1" w:styleId="Heading2NotNumbered">
    <w:name w:val="Heading 2 Not Numbered"/>
    <w:basedOn w:val="HeadingBase"/>
    <w:next w:val="Normal"/>
    <w:rsid w:val="002A2C88"/>
    <w:pPr>
      <w:spacing w:before="360" w:after="180"/>
    </w:pPr>
    <w:rPr>
      <w:rFonts w:ascii="Arial Bold" w:hAnsi="Arial Bold"/>
      <w:b/>
      <w:smallCaps/>
      <w:sz w:val="28"/>
      <w:szCs w:val="28"/>
    </w:rPr>
  </w:style>
  <w:style w:type="paragraph" w:customStyle="1" w:styleId="Heading3NotNumbered">
    <w:name w:val="Heading 3 Not Numbered"/>
    <w:basedOn w:val="HeadingBase"/>
    <w:next w:val="Normal"/>
    <w:rsid w:val="002A2C88"/>
    <w:pPr>
      <w:spacing w:before="240" w:after="120"/>
    </w:pPr>
    <w:rPr>
      <w:b/>
      <w:sz w:val="26"/>
      <w:szCs w:val="26"/>
    </w:rPr>
  </w:style>
  <w:style w:type="paragraph" w:customStyle="1" w:styleId="Heading4NotNumbered">
    <w:name w:val="Heading 4 Not Numbered"/>
    <w:basedOn w:val="HeadingBase"/>
    <w:rsid w:val="002A2C88"/>
    <w:pPr>
      <w:spacing w:before="120" w:after="120"/>
      <w:outlineLvl w:val="3"/>
    </w:pPr>
    <w:rPr>
      <w:b/>
      <w:sz w:val="22"/>
    </w:rPr>
  </w:style>
  <w:style w:type="paragraph" w:styleId="BalloonText">
    <w:name w:val="Balloon Text"/>
    <w:basedOn w:val="Normal"/>
    <w:semiHidden/>
    <w:rsid w:val="005E76C1"/>
    <w:rPr>
      <w:rFonts w:ascii="Tahoma" w:hAnsi="Tahoma" w:cs="Tahoma"/>
      <w:sz w:val="16"/>
      <w:szCs w:val="16"/>
    </w:rPr>
  </w:style>
  <w:style w:type="paragraph" w:styleId="Caption">
    <w:name w:val="caption"/>
    <w:basedOn w:val="Normal"/>
    <w:next w:val="Normal"/>
    <w:uiPriority w:val="99"/>
    <w:qFormat/>
    <w:rsid w:val="005E76C1"/>
    <w:rPr>
      <w:b/>
      <w:bCs/>
    </w:rPr>
  </w:style>
  <w:style w:type="character" w:styleId="CommentReference">
    <w:name w:val="annotation reference"/>
    <w:basedOn w:val="DefaultParagraphFont"/>
    <w:uiPriority w:val="99"/>
    <w:semiHidden/>
    <w:rsid w:val="005E76C1"/>
    <w:rPr>
      <w:sz w:val="16"/>
      <w:szCs w:val="16"/>
    </w:rPr>
  </w:style>
  <w:style w:type="paragraph" w:styleId="CommentText">
    <w:name w:val="annotation text"/>
    <w:basedOn w:val="Normal"/>
    <w:link w:val="CommentTextChar"/>
    <w:uiPriority w:val="99"/>
    <w:semiHidden/>
    <w:rsid w:val="005E76C1"/>
  </w:style>
  <w:style w:type="paragraph" w:styleId="CommentSubject">
    <w:name w:val="annotation subject"/>
    <w:basedOn w:val="CommentText"/>
    <w:next w:val="CommentText"/>
    <w:semiHidden/>
    <w:rsid w:val="005E76C1"/>
    <w:rPr>
      <w:b/>
      <w:bCs/>
    </w:rPr>
  </w:style>
  <w:style w:type="paragraph" w:styleId="DocumentMap">
    <w:name w:val="Document Map"/>
    <w:basedOn w:val="Normal"/>
    <w:semiHidden/>
    <w:rsid w:val="005E76C1"/>
    <w:pPr>
      <w:shd w:val="clear" w:color="auto" w:fill="000080"/>
    </w:pPr>
    <w:rPr>
      <w:rFonts w:ascii="Tahoma" w:hAnsi="Tahoma" w:cs="Tahoma"/>
    </w:rPr>
  </w:style>
  <w:style w:type="character" w:styleId="EndnoteReference">
    <w:name w:val="endnote reference"/>
    <w:basedOn w:val="DefaultParagraphFont"/>
    <w:semiHidden/>
    <w:rsid w:val="005E76C1"/>
    <w:rPr>
      <w:vertAlign w:val="superscript"/>
    </w:rPr>
  </w:style>
  <w:style w:type="paragraph" w:styleId="EndnoteText">
    <w:name w:val="endnote text"/>
    <w:basedOn w:val="Normal"/>
    <w:semiHidden/>
    <w:rsid w:val="005E76C1"/>
  </w:style>
  <w:style w:type="character" w:styleId="FootnoteReference">
    <w:name w:val="footnote reference"/>
    <w:basedOn w:val="DefaultParagraphFont"/>
    <w:uiPriority w:val="99"/>
    <w:rsid w:val="005E76C1"/>
    <w:rPr>
      <w:vertAlign w:val="superscript"/>
    </w:rPr>
  </w:style>
  <w:style w:type="paragraph" w:styleId="Index1">
    <w:name w:val="index 1"/>
    <w:basedOn w:val="Normal"/>
    <w:next w:val="Normal"/>
    <w:autoRedefine/>
    <w:semiHidden/>
    <w:rsid w:val="005E76C1"/>
    <w:pPr>
      <w:ind w:left="200" w:hanging="200"/>
    </w:pPr>
  </w:style>
  <w:style w:type="paragraph" w:styleId="Index2">
    <w:name w:val="index 2"/>
    <w:basedOn w:val="Normal"/>
    <w:next w:val="Normal"/>
    <w:autoRedefine/>
    <w:semiHidden/>
    <w:rsid w:val="005E76C1"/>
    <w:pPr>
      <w:ind w:left="400" w:hanging="200"/>
    </w:pPr>
  </w:style>
  <w:style w:type="paragraph" w:styleId="Index3">
    <w:name w:val="index 3"/>
    <w:basedOn w:val="Normal"/>
    <w:next w:val="Normal"/>
    <w:autoRedefine/>
    <w:semiHidden/>
    <w:rsid w:val="005E76C1"/>
    <w:pPr>
      <w:ind w:left="600" w:hanging="200"/>
    </w:pPr>
  </w:style>
  <w:style w:type="paragraph" w:styleId="Index4">
    <w:name w:val="index 4"/>
    <w:basedOn w:val="Normal"/>
    <w:next w:val="Normal"/>
    <w:autoRedefine/>
    <w:semiHidden/>
    <w:rsid w:val="005E76C1"/>
    <w:pPr>
      <w:ind w:left="800" w:hanging="200"/>
    </w:pPr>
  </w:style>
  <w:style w:type="paragraph" w:styleId="Index5">
    <w:name w:val="index 5"/>
    <w:basedOn w:val="Normal"/>
    <w:next w:val="Normal"/>
    <w:autoRedefine/>
    <w:semiHidden/>
    <w:rsid w:val="005E76C1"/>
    <w:pPr>
      <w:ind w:left="1000" w:hanging="200"/>
    </w:pPr>
  </w:style>
  <w:style w:type="paragraph" w:styleId="Index6">
    <w:name w:val="index 6"/>
    <w:basedOn w:val="Normal"/>
    <w:next w:val="Normal"/>
    <w:autoRedefine/>
    <w:semiHidden/>
    <w:rsid w:val="005E76C1"/>
    <w:pPr>
      <w:ind w:left="1200" w:hanging="200"/>
    </w:pPr>
  </w:style>
  <w:style w:type="paragraph" w:styleId="Index7">
    <w:name w:val="index 7"/>
    <w:basedOn w:val="Normal"/>
    <w:next w:val="Normal"/>
    <w:autoRedefine/>
    <w:semiHidden/>
    <w:rsid w:val="005E76C1"/>
    <w:pPr>
      <w:ind w:left="1400" w:hanging="200"/>
    </w:pPr>
  </w:style>
  <w:style w:type="paragraph" w:styleId="Index8">
    <w:name w:val="index 8"/>
    <w:basedOn w:val="Normal"/>
    <w:next w:val="Normal"/>
    <w:autoRedefine/>
    <w:semiHidden/>
    <w:rsid w:val="005E76C1"/>
    <w:pPr>
      <w:ind w:left="1600" w:hanging="200"/>
    </w:pPr>
  </w:style>
  <w:style w:type="paragraph" w:styleId="Index9">
    <w:name w:val="index 9"/>
    <w:basedOn w:val="Normal"/>
    <w:next w:val="Normal"/>
    <w:autoRedefine/>
    <w:semiHidden/>
    <w:rsid w:val="005E76C1"/>
    <w:pPr>
      <w:ind w:left="1800" w:hanging="200"/>
    </w:pPr>
  </w:style>
  <w:style w:type="paragraph" w:styleId="IndexHeading">
    <w:name w:val="index heading"/>
    <w:basedOn w:val="Normal"/>
    <w:next w:val="Index1"/>
    <w:semiHidden/>
    <w:rsid w:val="005E76C1"/>
    <w:rPr>
      <w:rFonts w:ascii="Arial" w:hAnsi="Arial" w:cs="Arial"/>
      <w:b/>
      <w:bCs/>
    </w:rPr>
  </w:style>
  <w:style w:type="paragraph" w:styleId="MacroText">
    <w:name w:val="macro"/>
    <w:semiHidden/>
    <w:rsid w:val="005E76C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color w:val="000000"/>
    </w:rPr>
  </w:style>
  <w:style w:type="paragraph" w:styleId="TableofAuthorities">
    <w:name w:val="table of authorities"/>
    <w:basedOn w:val="Normal"/>
    <w:next w:val="Normal"/>
    <w:rsid w:val="005E76C1"/>
    <w:pPr>
      <w:ind w:left="200" w:hanging="200"/>
    </w:pPr>
  </w:style>
  <w:style w:type="paragraph" w:styleId="TableofFigures">
    <w:name w:val="table of figures"/>
    <w:basedOn w:val="Normal"/>
    <w:next w:val="Normal"/>
    <w:rsid w:val="005E76C1"/>
  </w:style>
  <w:style w:type="paragraph" w:styleId="TOAHeading">
    <w:name w:val="toa heading"/>
    <w:basedOn w:val="Normal"/>
    <w:next w:val="Normal"/>
    <w:semiHidden/>
    <w:rsid w:val="005E76C1"/>
    <w:pPr>
      <w:spacing w:before="120"/>
    </w:pPr>
    <w:rPr>
      <w:rFonts w:ascii="Arial" w:hAnsi="Arial" w:cs="Arial"/>
      <w:b/>
      <w:bCs/>
      <w:sz w:val="24"/>
      <w:szCs w:val="24"/>
    </w:rPr>
  </w:style>
  <w:style w:type="paragraph" w:styleId="TOC5">
    <w:name w:val="toc 5"/>
    <w:basedOn w:val="Normal"/>
    <w:next w:val="Normal"/>
    <w:autoRedefine/>
    <w:semiHidden/>
    <w:rsid w:val="005E76C1"/>
    <w:pPr>
      <w:ind w:left="800"/>
    </w:pPr>
  </w:style>
  <w:style w:type="paragraph" w:styleId="TOC6">
    <w:name w:val="toc 6"/>
    <w:basedOn w:val="Normal"/>
    <w:next w:val="Normal"/>
    <w:autoRedefine/>
    <w:semiHidden/>
    <w:rsid w:val="005E76C1"/>
    <w:pPr>
      <w:ind w:left="1000"/>
    </w:pPr>
  </w:style>
  <w:style w:type="paragraph" w:styleId="TOC7">
    <w:name w:val="toc 7"/>
    <w:basedOn w:val="Normal"/>
    <w:next w:val="Normal"/>
    <w:autoRedefine/>
    <w:semiHidden/>
    <w:rsid w:val="005E76C1"/>
    <w:pPr>
      <w:ind w:left="1200"/>
    </w:pPr>
  </w:style>
  <w:style w:type="paragraph" w:styleId="TOC8">
    <w:name w:val="toc 8"/>
    <w:basedOn w:val="Normal"/>
    <w:next w:val="Normal"/>
    <w:autoRedefine/>
    <w:semiHidden/>
    <w:rsid w:val="005E76C1"/>
    <w:pPr>
      <w:ind w:left="1400"/>
    </w:pPr>
  </w:style>
  <w:style w:type="paragraph" w:styleId="TOC9">
    <w:name w:val="toc 9"/>
    <w:basedOn w:val="Normal"/>
    <w:next w:val="Normal"/>
    <w:autoRedefine/>
    <w:semiHidden/>
    <w:rsid w:val="005E76C1"/>
    <w:pPr>
      <w:ind w:left="1600"/>
    </w:pPr>
  </w:style>
  <w:style w:type="paragraph" w:customStyle="1" w:styleId="Heading5NotNumbered">
    <w:name w:val="Heading 5 Not Numbered"/>
    <w:basedOn w:val="HeadingBase"/>
    <w:rsid w:val="002A2C88"/>
    <w:pPr>
      <w:spacing w:after="120"/>
      <w:outlineLvl w:val="4"/>
    </w:pPr>
    <w:rPr>
      <w:b/>
    </w:rPr>
  </w:style>
  <w:style w:type="paragraph" w:customStyle="1" w:styleId="Normalnumbered">
    <w:name w:val="Normal numbered"/>
    <w:basedOn w:val="Normal"/>
    <w:rsid w:val="002A2C88"/>
  </w:style>
  <w:style w:type="paragraph" w:customStyle="1" w:styleId="Romannumeral">
    <w:name w:val="Roman numeral"/>
    <w:basedOn w:val="Normal"/>
    <w:rsid w:val="002A2C88"/>
    <w:pPr>
      <w:numPr>
        <w:numId w:val="22"/>
      </w:numPr>
    </w:pPr>
  </w:style>
  <w:style w:type="paragraph" w:customStyle="1" w:styleId="OutlineNumbered4">
    <w:name w:val="Outline Numbered 4"/>
    <w:basedOn w:val="Normal"/>
    <w:rsid w:val="00E07913"/>
    <w:pPr>
      <w:numPr>
        <w:ilvl w:val="3"/>
        <w:numId w:val="2"/>
      </w:numPr>
    </w:pPr>
  </w:style>
  <w:style w:type="paragraph" w:customStyle="1" w:styleId="OutlineNumbered5">
    <w:name w:val="Outline Numbered 5"/>
    <w:basedOn w:val="Normal"/>
    <w:rsid w:val="00E07913"/>
    <w:pPr>
      <w:numPr>
        <w:ilvl w:val="4"/>
        <w:numId w:val="2"/>
      </w:numPr>
    </w:pPr>
  </w:style>
  <w:style w:type="paragraph" w:customStyle="1" w:styleId="Heading1NoTOC">
    <w:name w:val="Heading 1 No TOC"/>
    <w:basedOn w:val="Heading1"/>
    <w:next w:val="Normal"/>
    <w:uiPriority w:val="99"/>
    <w:rsid w:val="00CD565E"/>
  </w:style>
  <w:style w:type="paragraph" w:customStyle="1" w:styleId="Boxtexthangingindent">
    <w:name w:val="Box text hanging indent"/>
    <w:basedOn w:val="BoxText"/>
    <w:rsid w:val="00EF3C9C"/>
    <w:pPr>
      <w:spacing w:line="300" w:lineRule="exact"/>
      <w:ind w:left="567" w:hanging="567"/>
    </w:pPr>
  </w:style>
  <w:style w:type="paragraph" w:customStyle="1" w:styleId="Boxtexthangingplus">
    <w:name w:val="Box text hanging plus"/>
    <w:basedOn w:val="BoxText"/>
    <w:rsid w:val="00EF3C9C"/>
    <w:pPr>
      <w:spacing w:line="300" w:lineRule="exact"/>
      <w:ind w:left="1304" w:hanging="737"/>
    </w:pPr>
  </w:style>
  <w:style w:type="character" w:customStyle="1" w:styleId="A5">
    <w:name w:val="A5"/>
    <w:uiPriority w:val="99"/>
    <w:rsid w:val="00D16092"/>
    <w:rPr>
      <w:rFonts w:cs="Swiss 721 BT"/>
      <w:color w:val="000000"/>
      <w:sz w:val="20"/>
      <w:szCs w:val="20"/>
    </w:rPr>
  </w:style>
  <w:style w:type="character" w:customStyle="1" w:styleId="Heading1Char">
    <w:name w:val="Heading 1 Char"/>
    <w:basedOn w:val="DefaultParagraphFont"/>
    <w:link w:val="Heading1"/>
    <w:uiPriority w:val="99"/>
    <w:locked/>
    <w:rsid w:val="0062161A"/>
    <w:rPr>
      <w:rFonts w:ascii="Arial" w:hAnsi="Arial" w:cs="Arial"/>
      <w:b/>
      <w:bCs/>
      <w:smallCaps/>
      <w:color w:val="00673A"/>
      <w:kern w:val="32"/>
      <w:sz w:val="36"/>
      <w:szCs w:val="36"/>
    </w:rPr>
  </w:style>
  <w:style w:type="character" w:customStyle="1" w:styleId="Heading2Char">
    <w:name w:val="Heading 2 Char"/>
    <w:basedOn w:val="DefaultParagraphFont"/>
    <w:link w:val="Heading2"/>
    <w:uiPriority w:val="99"/>
    <w:locked/>
    <w:rsid w:val="0062161A"/>
    <w:rPr>
      <w:rFonts w:ascii="Arial" w:hAnsi="Arial" w:cs="Arial"/>
      <w:b/>
      <w:bCs/>
      <w:iCs/>
      <w:smallCaps/>
      <w:color w:val="00673A"/>
      <w:sz w:val="28"/>
      <w:szCs w:val="28"/>
    </w:rPr>
  </w:style>
  <w:style w:type="character" w:customStyle="1" w:styleId="DoubleDotChar">
    <w:name w:val="Double Dot Char"/>
    <w:basedOn w:val="DefaultParagraphFont"/>
    <w:link w:val="DoubleDot"/>
    <w:locked/>
    <w:rsid w:val="0062161A"/>
    <w:rPr>
      <w:rFonts w:ascii="Book Antiqua" w:hAnsi="Book Antiqua"/>
      <w:color w:val="000000"/>
      <w:sz w:val="22"/>
    </w:rPr>
  </w:style>
  <w:style w:type="character" w:customStyle="1" w:styleId="Heading3Char">
    <w:name w:val="Heading 3 Char"/>
    <w:basedOn w:val="DefaultParagraphFont"/>
    <w:link w:val="Heading3"/>
    <w:uiPriority w:val="99"/>
    <w:locked/>
    <w:rsid w:val="0062161A"/>
    <w:rPr>
      <w:rFonts w:ascii="Arial" w:hAnsi="Arial" w:cs="Arial"/>
      <w:b/>
      <w:bCs/>
      <w:color w:val="00673A"/>
      <w:sz w:val="26"/>
      <w:szCs w:val="26"/>
    </w:rPr>
  </w:style>
  <w:style w:type="character" w:customStyle="1" w:styleId="BulletChar">
    <w:name w:val="Bullet Char"/>
    <w:basedOn w:val="DefaultParagraphFont"/>
    <w:link w:val="Bullet"/>
    <w:locked/>
    <w:rsid w:val="0062161A"/>
    <w:rPr>
      <w:rFonts w:ascii="Book Antiqua" w:hAnsi="Book Antiqua"/>
      <w:color w:val="000000"/>
      <w:sz w:val="22"/>
    </w:rPr>
  </w:style>
  <w:style w:type="character" w:customStyle="1" w:styleId="DashChar">
    <w:name w:val="Dash Char"/>
    <w:basedOn w:val="DefaultParagraphFont"/>
    <w:link w:val="Dash"/>
    <w:locked/>
    <w:rsid w:val="0062161A"/>
    <w:rPr>
      <w:rFonts w:ascii="Book Antiqua" w:hAnsi="Book Antiqua"/>
      <w:color w:val="000000"/>
      <w:sz w:val="22"/>
    </w:rPr>
  </w:style>
  <w:style w:type="character" w:styleId="HTMLTypewriter">
    <w:name w:val="HTML Typewriter"/>
    <w:basedOn w:val="DefaultParagraphFont"/>
    <w:rsid w:val="0062161A"/>
    <w:rPr>
      <w:rFonts w:ascii="Courier New" w:eastAsia="Times New Roman" w:hAnsi="Courier New" w:cs="Courier New"/>
      <w:sz w:val="20"/>
      <w:szCs w:val="20"/>
    </w:rPr>
  </w:style>
  <w:style w:type="paragraph" w:customStyle="1" w:styleId="Advice">
    <w:name w:val="Advice"/>
    <w:basedOn w:val="Normal"/>
    <w:rsid w:val="0062161A"/>
    <w:pPr>
      <w:spacing w:before="60" w:after="80" w:line="240" w:lineRule="auto"/>
    </w:pPr>
    <w:rPr>
      <w:rFonts w:ascii="Verdana" w:hAnsi="Verdana"/>
      <w:i/>
      <w:color w:val="auto"/>
      <w:szCs w:val="22"/>
      <w:lang w:eastAsia="en-US"/>
    </w:rPr>
  </w:style>
  <w:style w:type="character" w:customStyle="1" w:styleId="fblongblurb2">
    <w:name w:val="fblongblurb2"/>
    <w:basedOn w:val="DefaultParagraphFont"/>
    <w:rsid w:val="0062161A"/>
    <w:rPr>
      <w:vanish w:val="0"/>
      <w:webHidden w:val="0"/>
      <w:color w:val="333333"/>
      <w:specVanish w:val="0"/>
    </w:rPr>
  </w:style>
  <w:style w:type="paragraph" w:customStyle="1" w:styleId="bBodyText">
    <w:name w:val="b_BodyText"/>
    <w:basedOn w:val="Normal"/>
    <w:rsid w:val="0062161A"/>
    <w:pPr>
      <w:spacing w:after="0" w:line="240" w:lineRule="auto"/>
      <w:jc w:val="both"/>
    </w:pPr>
    <w:rPr>
      <w:rFonts w:ascii="Arial" w:hAnsi="Arial"/>
      <w:color w:val="auto"/>
      <w:lang w:eastAsia="en-US"/>
    </w:rPr>
  </w:style>
  <w:style w:type="character" w:styleId="Strong">
    <w:name w:val="Strong"/>
    <w:basedOn w:val="DefaultParagraphFont"/>
    <w:qFormat/>
    <w:rsid w:val="0062161A"/>
    <w:rPr>
      <w:b/>
      <w:bCs/>
    </w:rPr>
  </w:style>
  <w:style w:type="character" w:customStyle="1" w:styleId="HeaderChar">
    <w:name w:val="Header Char"/>
    <w:basedOn w:val="DefaultParagraphFont"/>
    <w:link w:val="Header"/>
    <w:uiPriority w:val="99"/>
    <w:locked/>
    <w:rsid w:val="00C613D0"/>
    <w:rPr>
      <w:rFonts w:ascii="Arial" w:hAnsi="Arial"/>
      <w:color w:val="00673A"/>
      <w:sz w:val="18"/>
    </w:rPr>
  </w:style>
  <w:style w:type="character" w:styleId="PageNumber">
    <w:name w:val="page number"/>
    <w:basedOn w:val="DefaultParagraphFont"/>
    <w:uiPriority w:val="99"/>
    <w:rsid w:val="00C613D0"/>
    <w:rPr>
      <w:rFonts w:cs="Times New Roman"/>
    </w:rPr>
  </w:style>
  <w:style w:type="paragraph" w:customStyle="1" w:styleId="ChapterHeading">
    <w:name w:val="Chapter Heading"/>
    <w:next w:val="Heading2"/>
    <w:uiPriority w:val="99"/>
    <w:rsid w:val="00C613D0"/>
    <w:pPr>
      <w:numPr>
        <w:ilvl w:val="4"/>
        <w:numId w:val="36"/>
      </w:numPr>
      <w:pBdr>
        <w:top w:val="single" w:sz="4" w:space="1" w:color="auto"/>
        <w:bottom w:val="single" w:sz="4" w:space="1" w:color="auto"/>
      </w:pBdr>
      <w:spacing w:before="240" w:line="260" w:lineRule="atLeast"/>
      <w:ind w:left="0"/>
    </w:pPr>
    <w:rPr>
      <w:rFonts w:ascii="Helvetica" w:hAnsi="Helvetica"/>
      <w:b/>
      <w:i/>
      <w:sz w:val="38"/>
    </w:rPr>
  </w:style>
  <w:style w:type="paragraph" w:customStyle="1" w:styleId="Diagram">
    <w:name w:val="Diagram"/>
    <w:basedOn w:val="Normal"/>
    <w:next w:val="Normal"/>
    <w:uiPriority w:val="99"/>
    <w:rsid w:val="00C613D0"/>
    <w:pPr>
      <w:keepNext/>
      <w:numPr>
        <w:ilvl w:val="3"/>
        <w:numId w:val="36"/>
      </w:numPr>
      <w:spacing w:after="0" w:line="240" w:lineRule="auto"/>
    </w:pPr>
    <w:rPr>
      <w:rFonts w:ascii="Times New Roman" w:hAnsi="Times New Roman"/>
      <w:b/>
      <w:color w:val="auto"/>
    </w:rPr>
  </w:style>
  <w:style w:type="character" w:customStyle="1" w:styleId="FootnoteTextChar">
    <w:name w:val="Footnote Text Char"/>
    <w:basedOn w:val="DefaultParagraphFont"/>
    <w:link w:val="FootnoteText"/>
    <w:uiPriority w:val="99"/>
    <w:rsid w:val="00C613D0"/>
    <w:rPr>
      <w:rFonts w:ascii="Book Antiqua" w:hAnsi="Book Antiqua"/>
      <w:color w:val="000000"/>
      <w:sz w:val="18"/>
    </w:rPr>
  </w:style>
  <w:style w:type="character" w:customStyle="1" w:styleId="CommentTextChar">
    <w:name w:val="Comment Text Char"/>
    <w:basedOn w:val="DefaultParagraphFont"/>
    <w:link w:val="CommentText"/>
    <w:uiPriority w:val="99"/>
    <w:semiHidden/>
    <w:rsid w:val="00C613D0"/>
    <w:rPr>
      <w:rFonts w:ascii="Book Antiqua" w:hAnsi="Book Antiqua"/>
      <w:color w:val="000000"/>
      <w:sz w:val="22"/>
    </w:rPr>
  </w:style>
  <w:style w:type="paragraph" w:styleId="Quote">
    <w:name w:val="Quote"/>
    <w:basedOn w:val="Normal"/>
    <w:next w:val="Normal"/>
    <w:link w:val="QuoteChar"/>
    <w:uiPriority w:val="99"/>
    <w:qFormat/>
    <w:rsid w:val="00C613D0"/>
    <w:pPr>
      <w:ind w:left="567"/>
    </w:pPr>
    <w:rPr>
      <w:i/>
      <w:iCs/>
    </w:rPr>
  </w:style>
  <w:style w:type="character" w:customStyle="1" w:styleId="QuoteChar">
    <w:name w:val="Quote Char"/>
    <w:basedOn w:val="DefaultParagraphFont"/>
    <w:link w:val="Quote"/>
    <w:uiPriority w:val="99"/>
    <w:rsid w:val="00C613D0"/>
    <w:rPr>
      <w:rFonts w:ascii="Book Antiqua" w:hAnsi="Book Antiqua"/>
      <w:i/>
      <w:iCs/>
      <w:color w:val="000000"/>
      <w:sz w:val="22"/>
    </w:rPr>
  </w:style>
  <w:style w:type="table" w:styleId="LightShading-Accent3">
    <w:name w:val="Light Shading Accent 3"/>
    <w:basedOn w:val="TableNormal"/>
    <w:uiPriority w:val="60"/>
    <w:rsid w:val="00C613D0"/>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C127CC"/>
    <w:pPr>
      <w:autoSpaceDE w:val="0"/>
      <w:autoSpaceDN w:val="0"/>
      <w:adjustRightInd w:val="0"/>
    </w:pPr>
    <w:rPr>
      <w:rFonts w:ascii="Calibri" w:hAnsi="Calibri" w:cs="Calibri"/>
      <w:color w:val="000000"/>
      <w:sz w:val="24"/>
      <w:szCs w:val="24"/>
    </w:rPr>
  </w:style>
  <w:style w:type="paragraph" w:styleId="TOCHeading">
    <w:name w:val="TOC Heading"/>
    <w:basedOn w:val="Heading1"/>
    <w:next w:val="Normal"/>
    <w:uiPriority w:val="39"/>
    <w:unhideWhenUsed/>
    <w:qFormat/>
    <w:rsid w:val="00FD33E7"/>
    <w:pPr>
      <w:keepLines/>
      <w:spacing w:before="480" w:after="0" w:line="276" w:lineRule="auto"/>
      <w:outlineLvl w:val="9"/>
    </w:pPr>
    <w:rPr>
      <w:rFonts w:asciiTheme="majorHAnsi" w:eastAsiaTheme="majorEastAsia" w:hAnsiTheme="majorHAnsi" w:cstheme="majorBidi"/>
      <w:smallCaps w:val="0"/>
      <w:color w:val="365F91" w:themeColor="accent1" w:themeShade="BF"/>
      <w:kern w:val="0"/>
      <w:sz w:val="28"/>
      <w:szCs w:val="28"/>
      <w:lang w:val="en-US" w:eastAsia="ja-JP"/>
    </w:rPr>
  </w:style>
  <w:style w:type="paragraph" w:styleId="NormalWeb">
    <w:name w:val="Normal (Web)"/>
    <w:basedOn w:val="Normal"/>
    <w:uiPriority w:val="99"/>
    <w:unhideWhenUsed/>
    <w:rsid w:val="00DF304A"/>
    <w:pPr>
      <w:spacing w:before="100" w:beforeAutospacing="1" w:after="100" w:afterAutospacing="1" w:line="240" w:lineRule="auto"/>
    </w:pPr>
    <w:rPr>
      <w:rFonts w:ascii="Times New Roman" w:eastAsiaTheme="minorEastAsia" w:hAnsi="Times New Roman"/>
      <w:color w:val="auto"/>
      <w:sz w:val="24"/>
      <w:szCs w:val="24"/>
    </w:rPr>
  </w:style>
  <w:style w:type="paragraph" w:styleId="Revision">
    <w:name w:val="Revision"/>
    <w:hidden/>
    <w:uiPriority w:val="99"/>
    <w:semiHidden/>
    <w:rsid w:val="00461621"/>
    <w:rPr>
      <w:rFonts w:ascii="Book Antiqua" w:hAnsi="Book Antiqua"/>
      <w:color w:val="000000"/>
      <w:sz w:val="22"/>
    </w:rPr>
  </w:style>
  <w:style w:type="numbering" w:customStyle="1" w:styleId="RecommendationList">
    <w:name w:val="Recommendation List"/>
    <w:uiPriority w:val="99"/>
    <w:rsid w:val="00CD5A79"/>
    <w:pPr>
      <w:numPr>
        <w:numId w:val="43"/>
      </w:numPr>
    </w:pPr>
  </w:style>
  <w:style w:type="character" w:customStyle="1" w:styleId="st1">
    <w:name w:val="st1"/>
    <w:basedOn w:val="DefaultParagraphFont"/>
    <w:rsid w:val="00CD2003"/>
  </w:style>
  <w:style w:type="paragraph" w:customStyle="1" w:styleId="bitemheadings">
    <w:name w:val="bitemheadings"/>
    <w:basedOn w:val="Normal"/>
    <w:uiPriority w:val="99"/>
    <w:rsid w:val="00D33831"/>
    <w:pPr>
      <w:spacing w:before="100" w:beforeAutospacing="1" w:after="100" w:afterAutospacing="1" w:line="240" w:lineRule="auto"/>
    </w:pPr>
    <w:rPr>
      <w:rFonts w:ascii="Times New Roman" w:eastAsia="Calibri" w:hAnsi="Times New Roman"/>
      <w:color w:val="auto"/>
      <w:sz w:val="24"/>
      <w:szCs w:val="24"/>
    </w:rPr>
  </w:style>
  <w:style w:type="paragraph" w:customStyle="1" w:styleId="bbodytext0">
    <w:name w:val="bbodytext"/>
    <w:basedOn w:val="Normal"/>
    <w:uiPriority w:val="99"/>
    <w:rsid w:val="00D33831"/>
    <w:pPr>
      <w:spacing w:before="100" w:beforeAutospacing="1" w:after="100" w:afterAutospacing="1" w:line="240" w:lineRule="auto"/>
    </w:pPr>
    <w:rPr>
      <w:rFonts w:ascii="Times New Roman" w:eastAsia="Calibri" w:hAnsi="Times New Roman"/>
      <w:color w:val="auto"/>
      <w:sz w:val="24"/>
      <w:szCs w:val="24"/>
    </w:rPr>
  </w:style>
  <w:style w:type="paragraph" w:customStyle="1" w:styleId="FooterBase">
    <w:name w:val="Footer Base"/>
    <w:rsid w:val="005F2657"/>
    <w:rPr>
      <w:rFonts w:ascii="Arial" w:hAnsi="Arial"/>
    </w:rPr>
  </w:style>
  <w:style w:type="character" w:styleId="HTMLCite">
    <w:name w:val="HTML Cite"/>
    <w:basedOn w:val="DefaultParagraphFont"/>
    <w:uiPriority w:val="99"/>
    <w:unhideWhenUsed/>
    <w:rsid w:val="002D5C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202084">
      <w:bodyDiv w:val="1"/>
      <w:marLeft w:val="0"/>
      <w:marRight w:val="0"/>
      <w:marTop w:val="0"/>
      <w:marBottom w:val="0"/>
      <w:divBdr>
        <w:top w:val="none" w:sz="0" w:space="0" w:color="auto"/>
        <w:left w:val="none" w:sz="0" w:space="0" w:color="auto"/>
        <w:bottom w:val="none" w:sz="0" w:space="0" w:color="auto"/>
        <w:right w:val="none" w:sz="0" w:space="0" w:color="auto"/>
      </w:divBdr>
    </w:div>
    <w:div w:id="351033849">
      <w:bodyDiv w:val="1"/>
      <w:marLeft w:val="0"/>
      <w:marRight w:val="0"/>
      <w:marTop w:val="0"/>
      <w:marBottom w:val="0"/>
      <w:divBdr>
        <w:top w:val="none" w:sz="0" w:space="0" w:color="auto"/>
        <w:left w:val="none" w:sz="0" w:space="0" w:color="auto"/>
        <w:bottom w:val="none" w:sz="0" w:space="0" w:color="auto"/>
        <w:right w:val="none" w:sz="0" w:space="0" w:color="auto"/>
      </w:divBdr>
    </w:div>
    <w:div w:id="460347185">
      <w:bodyDiv w:val="1"/>
      <w:marLeft w:val="0"/>
      <w:marRight w:val="0"/>
      <w:marTop w:val="0"/>
      <w:marBottom w:val="0"/>
      <w:divBdr>
        <w:top w:val="none" w:sz="0" w:space="0" w:color="auto"/>
        <w:left w:val="none" w:sz="0" w:space="0" w:color="auto"/>
        <w:bottom w:val="none" w:sz="0" w:space="0" w:color="auto"/>
        <w:right w:val="none" w:sz="0" w:space="0" w:color="auto"/>
      </w:divBdr>
    </w:div>
    <w:div w:id="705519450">
      <w:bodyDiv w:val="1"/>
      <w:marLeft w:val="0"/>
      <w:marRight w:val="0"/>
      <w:marTop w:val="0"/>
      <w:marBottom w:val="0"/>
      <w:divBdr>
        <w:top w:val="none" w:sz="0" w:space="0" w:color="auto"/>
        <w:left w:val="none" w:sz="0" w:space="0" w:color="auto"/>
        <w:bottom w:val="none" w:sz="0" w:space="0" w:color="auto"/>
        <w:right w:val="none" w:sz="0" w:space="0" w:color="auto"/>
      </w:divBdr>
    </w:div>
    <w:div w:id="773280301">
      <w:bodyDiv w:val="1"/>
      <w:marLeft w:val="0"/>
      <w:marRight w:val="0"/>
      <w:marTop w:val="0"/>
      <w:marBottom w:val="0"/>
      <w:divBdr>
        <w:top w:val="none" w:sz="0" w:space="0" w:color="auto"/>
        <w:left w:val="none" w:sz="0" w:space="0" w:color="auto"/>
        <w:bottom w:val="none" w:sz="0" w:space="0" w:color="auto"/>
        <w:right w:val="none" w:sz="0" w:space="0" w:color="auto"/>
      </w:divBdr>
    </w:div>
    <w:div w:id="939877575">
      <w:bodyDiv w:val="1"/>
      <w:marLeft w:val="0"/>
      <w:marRight w:val="0"/>
      <w:marTop w:val="0"/>
      <w:marBottom w:val="0"/>
      <w:divBdr>
        <w:top w:val="none" w:sz="0" w:space="0" w:color="auto"/>
        <w:left w:val="none" w:sz="0" w:space="0" w:color="auto"/>
        <w:bottom w:val="none" w:sz="0" w:space="0" w:color="auto"/>
        <w:right w:val="none" w:sz="0" w:space="0" w:color="auto"/>
      </w:divBdr>
    </w:div>
    <w:div w:id="956064116">
      <w:bodyDiv w:val="1"/>
      <w:marLeft w:val="0"/>
      <w:marRight w:val="0"/>
      <w:marTop w:val="0"/>
      <w:marBottom w:val="0"/>
      <w:divBdr>
        <w:top w:val="none" w:sz="0" w:space="0" w:color="auto"/>
        <w:left w:val="none" w:sz="0" w:space="0" w:color="auto"/>
        <w:bottom w:val="none" w:sz="0" w:space="0" w:color="auto"/>
        <w:right w:val="none" w:sz="0" w:space="0" w:color="auto"/>
      </w:divBdr>
    </w:div>
    <w:div w:id="1153837254">
      <w:bodyDiv w:val="1"/>
      <w:marLeft w:val="0"/>
      <w:marRight w:val="0"/>
      <w:marTop w:val="0"/>
      <w:marBottom w:val="0"/>
      <w:divBdr>
        <w:top w:val="none" w:sz="0" w:space="0" w:color="auto"/>
        <w:left w:val="none" w:sz="0" w:space="0" w:color="auto"/>
        <w:bottom w:val="none" w:sz="0" w:space="0" w:color="auto"/>
        <w:right w:val="none" w:sz="0" w:space="0" w:color="auto"/>
      </w:divBdr>
    </w:div>
    <w:div w:id="1518928081">
      <w:bodyDiv w:val="1"/>
      <w:marLeft w:val="0"/>
      <w:marRight w:val="0"/>
      <w:marTop w:val="0"/>
      <w:marBottom w:val="0"/>
      <w:divBdr>
        <w:top w:val="none" w:sz="0" w:space="0" w:color="auto"/>
        <w:left w:val="none" w:sz="0" w:space="0" w:color="auto"/>
        <w:bottom w:val="none" w:sz="0" w:space="0" w:color="auto"/>
        <w:right w:val="none" w:sz="0" w:space="0" w:color="auto"/>
      </w:divBdr>
    </w:div>
    <w:div w:id="2082218082">
      <w:bodyDiv w:val="1"/>
      <w:marLeft w:val="0"/>
      <w:marRight w:val="0"/>
      <w:marTop w:val="0"/>
      <w:marBottom w:val="0"/>
      <w:divBdr>
        <w:top w:val="none" w:sz="0" w:space="0" w:color="auto"/>
        <w:left w:val="none" w:sz="0" w:space="0" w:color="auto"/>
        <w:bottom w:val="none" w:sz="0" w:space="0" w:color="auto"/>
        <w:right w:val="none" w:sz="0" w:space="0" w:color="auto"/>
      </w:divBdr>
    </w:div>
    <w:div w:id="213228316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creativecommons.org/licenses/by/3.0/au/deed.en" TargetMode="External"/><Relationship Id="rId26" Type="http://schemas.openxmlformats.org/officeDocument/2006/relationships/hyperlink" Target="file:///C:/Users/mzf/AppData/Local/Microsoft/Windows/Temporary%20Internet%20Files/Content.Outlook/64DRLRPR/www.consumerlaw.gov.au" TargetMode="External"/><Relationship Id="rId39"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www.stoptravellingconmen.org" TargetMode="Externa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1.wmf"/><Relationship Id="rId25" Type="http://schemas.openxmlformats.org/officeDocument/2006/relationships/image" Target="media/image3.jpeg"/><Relationship Id="rId33" Type="http://schemas.openxmlformats.org/officeDocument/2006/relationships/oleObject" Target="embeddings/oleObject2.bin"/><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0" Type="http://schemas.openxmlformats.org/officeDocument/2006/relationships/hyperlink" Target="mailto:medialiaison@treasury.gov.au" TargetMode="External"/><Relationship Id="rId29" Type="http://schemas.openxmlformats.org/officeDocument/2006/relationships/image" Target="media/image4.png"/><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accc.gov.au" TargetMode="External"/><Relationship Id="rId32" Type="http://schemas.openxmlformats.org/officeDocument/2006/relationships/image" Target="media/image5.png"/><Relationship Id="rId37" Type="http://schemas.openxmlformats.org/officeDocument/2006/relationships/hyperlink" Target="http://www.fairtrading.nsw.gov.au/Indigenous.html" TargetMode="External"/><Relationship Id="rId40"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hyperlink" Target="http://creativecommons.org/licenses/by/3.0/au/deed.en" TargetMode="External"/><Relationship Id="rId23" Type="http://schemas.openxmlformats.org/officeDocument/2006/relationships/image" Target="media/image2.png"/><Relationship Id="rId28" Type="http://schemas.openxmlformats.org/officeDocument/2006/relationships/hyperlink" Target="http://www.facebook.com/stoptravellingconmen" TargetMode="External"/><Relationship Id="rId36" Type="http://schemas.openxmlformats.org/officeDocument/2006/relationships/oleObject" Target="embeddings/oleObject3.bin"/><Relationship Id="rId10" Type="http://schemas.openxmlformats.org/officeDocument/2006/relationships/footnotes" Target="footnotes.xml"/><Relationship Id="rId19" Type="http://schemas.openxmlformats.org/officeDocument/2006/relationships/hyperlink" Target="http://www.itsanhonour.gov.au" TargetMode="External"/><Relationship Id="rId31" Type="http://schemas.openxmlformats.org/officeDocument/2006/relationships/hyperlink" Target="http://www.facebook.com/StopTravellingConM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oleObject" Target="embeddings/oleObject1.bin"/><Relationship Id="rId35" Type="http://schemas.openxmlformats.org/officeDocument/2006/relationships/image" Target="media/image6.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mer%20Law.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EBCAED125CEB43B39DAD94BDEC00A1" ma:contentTypeVersion="1" ma:contentTypeDescription="Create a new document." ma:contentTypeScope="" ma:versionID="a68b2f8c34644249b9bbcff9507ecac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5E432-D9BB-4A2D-B93C-7E4229F1A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D20FF3F-743B-43AD-8BCE-669B9754DDE3}">
  <ds:schemaRefs>
    <ds:schemaRef ds:uri="http://schemas.microsoft.com/sharepoint/v3/contenttype/forms"/>
  </ds:schemaRefs>
</ds:datastoreItem>
</file>

<file path=customXml/itemProps3.xml><?xml version="1.0" encoding="utf-8"?>
<ds:datastoreItem xmlns:ds="http://schemas.openxmlformats.org/officeDocument/2006/customXml" ds:itemID="{5FB4C0B9-9A04-431A-BECC-D9461586AB6D}">
  <ds:schemaRefs>
    <ds:schemaRef ds:uri="http://www.w3.org/XML/1998/namespace"/>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purl.org/dc/terms/"/>
    <ds:schemaRef ds:uri="http://schemas.microsoft.com/office/2006/metadata/properties"/>
  </ds:schemaRefs>
</ds:datastoreItem>
</file>

<file path=customXml/itemProps4.xml><?xml version="1.0" encoding="utf-8"?>
<ds:datastoreItem xmlns:ds="http://schemas.openxmlformats.org/officeDocument/2006/customXml" ds:itemID="{3030FE57-C4F7-496E-8AD8-AB5F05A5A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Consumer Law.dotm</Template>
  <TotalTime>16</TotalTime>
  <Pages>34</Pages>
  <Words>9047</Words>
  <Characters>54803</Characters>
  <Application>Microsoft Office Word</Application>
  <DocSecurity>0</DocSecurity>
  <Lines>456</Lines>
  <Paragraphs>127</Paragraphs>
  <ScaleCrop>false</ScaleCrop>
  <HeadingPairs>
    <vt:vector size="2" baseType="variant">
      <vt:variant>
        <vt:lpstr>Title</vt:lpstr>
      </vt:variant>
      <vt:variant>
        <vt:i4>1</vt:i4>
      </vt:variant>
    </vt:vector>
  </HeadingPairs>
  <TitlesOfParts>
    <vt:vector size="1" baseType="lpstr">
      <vt:lpstr/>
    </vt:vector>
  </TitlesOfParts>
  <Company>The Treasury</Company>
  <LinksUpToDate>false</LinksUpToDate>
  <CharactersWithSpaces>63723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Frost, Mark</dc:creator>
  <cp:lastModifiedBy>Hansen, Kim</cp:lastModifiedBy>
  <cp:revision>8</cp:revision>
  <cp:lastPrinted>2012-12-03T21:43:00Z</cp:lastPrinted>
  <dcterms:created xsi:type="dcterms:W3CDTF">2012-12-06T05:39:00Z</dcterms:created>
  <dcterms:modified xsi:type="dcterms:W3CDTF">2012-12-06T23:43:00Z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1561059718</vt:i4>
  </property>
  <property fmtid="{D5CDD505-2E9C-101B-9397-08002B2CF9AE}" pid="3" name="_NewReviewCycle">
    <vt:lpwstr/>
  </property>
  <property fmtid="{D5CDD505-2E9C-101B-9397-08002B2CF9AE}" pid="4" name="_EmailSubject">
    <vt:lpwstr>ACL - Implementation of the Australian Consumer Law – A report on Progress II (2011-12) [ [DLM=For-Official-Use-Only]</vt:lpwstr>
  </property>
  <property fmtid="{D5CDD505-2E9C-101B-9397-08002B2CF9AE}" pid="5" name="_AuthorEmail">
    <vt:lpwstr>Sophie.Wooldridge@TREASURY.GOV.AU</vt:lpwstr>
  </property>
  <property fmtid="{D5CDD505-2E9C-101B-9397-08002B2CF9AE}" pid="6" name="_AuthorEmailDisplayName">
    <vt:lpwstr>Wooldridge, Sophie</vt:lpwstr>
  </property>
  <property fmtid="{D5CDD505-2E9C-101B-9397-08002B2CF9AE}" pid="7" name="ContentTypeId">
    <vt:lpwstr>0x010100D5EBCAED125CEB43B39DAD94BDEC00A1</vt:lpwstr>
  </property>
  <property fmtid="{D5CDD505-2E9C-101B-9397-08002B2CF9AE}" pid="8" name="_PreviousAdHocReviewCycleID">
    <vt:i4>804078317</vt:i4>
  </property>
  <property fmtid="{D5CDD505-2E9C-101B-9397-08002B2CF9AE}" pid="9" name="_ReviewingToolsShownOnce">
    <vt:lpwstr/>
  </property>
</Properties>
</file>