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7C8" w:rsidRPr="00E35F91" w:rsidRDefault="005B3465" w:rsidP="00A147A2">
      <w:pPr>
        <w:tabs>
          <w:tab w:val="left" w:pos="6195"/>
          <w:tab w:val="left" w:pos="8070"/>
        </w:tabs>
        <w:spacing w:before="0" w:after="160" w:line="259" w:lineRule="auto"/>
        <w:jc w:val="both"/>
        <w:rPr>
          <w:rFonts w:ascii="Segoe UI" w:hAnsi="Segoe UI" w:cs="Segoe UI"/>
          <w:b/>
          <w:color w:val="auto"/>
        </w:rPr>
      </w:pPr>
      <w:bookmarkStart w:id="0" w:name="_GoBack"/>
      <w:bookmarkEnd w:id="0"/>
      <w:r w:rsidRPr="00E35F91">
        <w:rPr>
          <w:rFonts w:ascii="Segoe UI" w:hAnsi="Segoe UI" w:cs="Segoe UI"/>
          <w:b/>
          <w:color w:val="auto"/>
        </w:rPr>
        <w:t xml:space="preserve">   </w:t>
      </w:r>
      <w:r w:rsidR="006A1F42">
        <w:rPr>
          <w:rFonts w:ascii="Segoe UI" w:hAnsi="Segoe UI" w:cs="Segoe UI"/>
          <w:b/>
          <w:noProof/>
          <w:color w:val="auto"/>
        </w:rPr>
        <w:drawing>
          <wp:inline distT="0" distB="0" distL="0" distR="0">
            <wp:extent cx="2619375" cy="6191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619125"/>
                    </a:xfrm>
                    <a:prstGeom prst="rect">
                      <a:avLst/>
                    </a:prstGeom>
                    <a:noFill/>
                    <a:ln>
                      <a:noFill/>
                    </a:ln>
                  </pic:spPr>
                </pic:pic>
              </a:graphicData>
            </a:graphic>
          </wp:inline>
        </w:drawing>
      </w:r>
      <w:r w:rsidR="00E35F91" w:rsidRPr="00E35F91">
        <w:rPr>
          <w:rFonts w:ascii="Segoe UI" w:hAnsi="Segoe UI" w:cs="Segoe UI"/>
          <w:b/>
          <w:color w:val="auto"/>
        </w:rPr>
        <w:tab/>
      </w:r>
      <w:r w:rsidR="00A147A2">
        <w:rPr>
          <w:rFonts w:ascii="Segoe UI" w:hAnsi="Segoe UI" w:cs="Segoe UI"/>
          <w:b/>
          <w:color w:val="auto"/>
        </w:rPr>
        <w:tab/>
      </w:r>
    </w:p>
    <w:p w:rsidR="009857C8" w:rsidRPr="00E35F91" w:rsidRDefault="009857C8" w:rsidP="00DC6360">
      <w:pPr>
        <w:spacing w:before="0" w:after="160" w:line="259" w:lineRule="auto"/>
        <w:jc w:val="both"/>
        <w:rPr>
          <w:rFonts w:ascii="Segoe UI" w:hAnsi="Segoe UI" w:cs="Segoe UI"/>
          <w:b/>
          <w:color w:val="auto"/>
        </w:rPr>
      </w:pPr>
    </w:p>
    <w:p w:rsidR="009857C8" w:rsidRPr="00E35F91" w:rsidRDefault="009857C8" w:rsidP="00DC6360">
      <w:pPr>
        <w:pStyle w:val="NoSpacing"/>
        <w:jc w:val="both"/>
        <w:rPr>
          <w:rFonts w:ascii="Segoe UI" w:hAnsi="Segoe UI" w:cs="Segoe UI"/>
          <w:b/>
          <w:sz w:val="28"/>
          <w:szCs w:val="28"/>
        </w:rPr>
      </w:pPr>
      <w:r w:rsidRPr="00E35F91">
        <w:rPr>
          <w:rFonts w:ascii="Segoe UI" w:hAnsi="Segoe UI" w:cs="Segoe UI"/>
          <w:b/>
          <w:sz w:val="28"/>
          <w:szCs w:val="28"/>
        </w:rPr>
        <w:t>RESPONSE TO AUSTRALIAN CONSUMER LAW REVIEW</w:t>
      </w:r>
    </w:p>
    <w:p w:rsidR="009857C8" w:rsidRPr="00E35F91" w:rsidRDefault="009857C8" w:rsidP="00DC6360">
      <w:pPr>
        <w:pStyle w:val="NoSpacing"/>
        <w:jc w:val="both"/>
        <w:rPr>
          <w:rFonts w:ascii="Segoe UI" w:hAnsi="Segoe UI" w:cs="Segoe UI"/>
          <w:b/>
          <w:sz w:val="28"/>
          <w:szCs w:val="28"/>
        </w:rPr>
      </w:pPr>
      <w:r w:rsidRPr="00E35F91">
        <w:rPr>
          <w:rFonts w:ascii="Segoe UI" w:hAnsi="Segoe UI" w:cs="Segoe UI"/>
          <w:b/>
          <w:sz w:val="28"/>
          <w:szCs w:val="28"/>
        </w:rPr>
        <w:t>INTERIM REPORT</w:t>
      </w:r>
    </w:p>
    <w:p w:rsidR="009857C8" w:rsidRPr="00E35F91" w:rsidRDefault="009857C8" w:rsidP="00DC6360">
      <w:pPr>
        <w:spacing w:before="0" w:after="160" w:line="259" w:lineRule="auto"/>
        <w:jc w:val="both"/>
        <w:rPr>
          <w:rFonts w:ascii="Segoe UI" w:hAnsi="Segoe UI" w:cs="Segoe UI"/>
          <w:b/>
          <w:color w:val="auto"/>
        </w:rPr>
      </w:pPr>
    </w:p>
    <w:p w:rsidR="00E44E85" w:rsidRPr="00E35F91" w:rsidRDefault="007610F5" w:rsidP="00DC6360">
      <w:pPr>
        <w:spacing w:before="0" w:after="160" w:line="259" w:lineRule="auto"/>
        <w:jc w:val="both"/>
        <w:rPr>
          <w:rFonts w:ascii="Segoe UI" w:hAnsi="Segoe UI" w:cs="Segoe UI"/>
          <w:b/>
          <w:color w:val="auto"/>
        </w:rPr>
      </w:pPr>
      <w:r w:rsidRPr="00E35F91">
        <w:rPr>
          <w:rFonts w:ascii="Segoe UI" w:hAnsi="Segoe UI" w:cs="Segoe UI"/>
          <w:b/>
          <w:color w:val="auto"/>
        </w:rPr>
        <w:t xml:space="preserve">Introduction </w:t>
      </w:r>
    </w:p>
    <w:p w:rsidR="007610F5" w:rsidRPr="00E35F91" w:rsidRDefault="00E44E85" w:rsidP="00DC6360">
      <w:pPr>
        <w:spacing w:before="0" w:after="160" w:line="259" w:lineRule="auto"/>
        <w:jc w:val="both"/>
        <w:rPr>
          <w:rFonts w:ascii="Segoe UI" w:hAnsi="Segoe UI" w:cs="Segoe UI"/>
          <w:color w:val="auto"/>
          <w:sz w:val="20"/>
        </w:rPr>
      </w:pPr>
      <w:r w:rsidRPr="00E35F91">
        <w:rPr>
          <w:rFonts w:ascii="Segoe UI" w:hAnsi="Segoe UI" w:cs="Segoe UI"/>
          <w:color w:val="auto"/>
          <w:sz w:val="20"/>
        </w:rPr>
        <w:t xml:space="preserve">For context </w:t>
      </w:r>
      <w:r w:rsidR="005D26E3" w:rsidRPr="00E35F91">
        <w:rPr>
          <w:rFonts w:ascii="Segoe UI" w:hAnsi="Segoe UI" w:cs="Segoe UI"/>
          <w:color w:val="auto"/>
          <w:sz w:val="20"/>
        </w:rPr>
        <w:t>in</w:t>
      </w:r>
      <w:r w:rsidR="00C75BA4" w:rsidRPr="00E35F91">
        <w:rPr>
          <w:rFonts w:ascii="Segoe UI" w:hAnsi="Segoe UI" w:cs="Segoe UI"/>
          <w:color w:val="auto"/>
          <w:sz w:val="20"/>
        </w:rPr>
        <w:t xml:space="preserve"> this response</w:t>
      </w:r>
      <w:r w:rsidR="00CD0A70" w:rsidRPr="00E35F91">
        <w:rPr>
          <w:rFonts w:ascii="Segoe UI" w:hAnsi="Segoe UI" w:cs="Segoe UI"/>
          <w:color w:val="auto"/>
          <w:sz w:val="20"/>
        </w:rPr>
        <w:t>,</w:t>
      </w:r>
      <w:r w:rsidRPr="00E35F91">
        <w:rPr>
          <w:rFonts w:ascii="Segoe UI" w:hAnsi="Segoe UI" w:cs="Segoe UI"/>
          <w:color w:val="auto"/>
          <w:sz w:val="20"/>
        </w:rPr>
        <w:t xml:space="preserve"> </w:t>
      </w:r>
      <w:r w:rsidR="00C75BA4" w:rsidRPr="00E35F91">
        <w:rPr>
          <w:rFonts w:ascii="Segoe UI" w:hAnsi="Segoe UI" w:cs="Segoe UI"/>
          <w:color w:val="auto"/>
          <w:sz w:val="20"/>
        </w:rPr>
        <w:t>Direct Selling Australia (DSA)</w:t>
      </w:r>
      <w:r w:rsidRPr="00E35F91">
        <w:rPr>
          <w:rFonts w:ascii="Segoe UI" w:hAnsi="Segoe UI" w:cs="Segoe UI"/>
          <w:color w:val="auto"/>
          <w:sz w:val="20"/>
        </w:rPr>
        <w:t xml:space="preserve"> </w:t>
      </w:r>
      <w:r w:rsidR="005D26E3" w:rsidRPr="00E35F91">
        <w:rPr>
          <w:rFonts w:ascii="Segoe UI" w:hAnsi="Segoe UI" w:cs="Segoe UI"/>
          <w:color w:val="auto"/>
          <w:sz w:val="20"/>
        </w:rPr>
        <w:t>invites</w:t>
      </w:r>
      <w:r w:rsidRPr="00E35F91">
        <w:rPr>
          <w:rFonts w:ascii="Segoe UI" w:hAnsi="Segoe UI" w:cs="Segoe UI"/>
          <w:color w:val="auto"/>
          <w:sz w:val="20"/>
        </w:rPr>
        <w:t xml:space="preserve"> attention to its comment on the Issues Paper</w:t>
      </w:r>
      <w:r w:rsidR="007073C1" w:rsidRPr="00E35F91">
        <w:rPr>
          <w:rStyle w:val="FootnoteReference"/>
          <w:rFonts w:ascii="Segoe UI" w:hAnsi="Segoe UI" w:cs="Segoe UI"/>
          <w:color w:val="auto"/>
          <w:sz w:val="20"/>
        </w:rPr>
        <w:footnoteReference w:id="1"/>
      </w:r>
      <w:r w:rsidR="007073C1" w:rsidRPr="00E35F91">
        <w:rPr>
          <w:rFonts w:ascii="Segoe UI" w:hAnsi="Segoe UI" w:cs="Segoe UI"/>
          <w:color w:val="auto"/>
          <w:sz w:val="20"/>
        </w:rPr>
        <w:t xml:space="preserve"> </w:t>
      </w:r>
      <w:r w:rsidRPr="00E35F91">
        <w:rPr>
          <w:rFonts w:ascii="Segoe UI" w:hAnsi="Segoe UI" w:cs="Segoe UI"/>
          <w:color w:val="auto"/>
          <w:sz w:val="20"/>
        </w:rPr>
        <w:t xml:space="preserve">that consumer policy must appropriately balance addressing consumer harm in a meaningful way, while not imposing unnecessary compliance burdens on business or stifling effective competition and innovation </w:t>
      </w:r>
      <w:r w:rsidR="00CD0A70" w:rsidRPr="00E35F91">
        <w:rPr>
          <w:rFonts w:ascii="Segoe UI" w:hAnsi="Segoe UI" w:cs="Segoe UI"/>
          <w:color w:val="auto"/>
          <w:sz w:val="20"/>
        </w:rPr>
        <w:t>among</w:t>
      </w:r>
      <w:r w:rsidRPr="00E35F91">
        <w:rPr>
          <w:rFonts w:ascii="Segoe UI" w:hAnsi="Segoe UI" w:cs="Segoe UI"/>
          <w:color w:val="auto"/>
          <w:sz w:val="20"/>
        </w:rPr>
        <w:t xml:space="preserve"> market participants.   </w:t>
      </w:r>
      <w:r w:rsidR="003C4F41" w:rsidRPr="00E35F91">
        <w:rPr>
          <w:rFonts w:ascii="Segoe UI" w:hAnsi="Segoe UI" w:cs="Segoe UI"/>
          <w:color w:val="auto"/>
          <w:sz w:val="20"/>
        </w:rPr>
        <w:t xml:space="preserve">Essential </w:t>
      </w:r>
      <w:r w:rsidR="005D26E3" w:rsidRPr="00E35F91">
        <w:rPr>
          <w:rFonts w:ascii="Segoe UI" w:hAnsi="Segoe UI" w:cs="Segoe UI"/>
          <w:color w:val="auto"/>
          <w:sz w:val="20"/>
        </w:rPr>
        <w:t>in</w:t>
      </w:r>
      <w:r w:rsidR="003C4F41" w:rsidRPr="00E35F91">
        <w:rPr>
          <w:rFonts w:ascii="Segoe UI" w:hAnsi="Segoe UI" w:cs="Segoe UI"/>
          <w:color w:val="auto"/>
          <w:sz w:val="20"/>
        </w:rPr>
        <w:t xml:space="preserve"> this</w:t>
      </w:r>
      <w:r w:rsidRPr="00E35F91">
        <w:rPr>
          <w:rFonts w:ascii="Segoe UI" w:hAnsi="Segoe UI" w:cs="Segoe UI"/>
          <w:color w:val="auto"/>
          <w:sz w:val="20"/>
        </w:rPr>
        <w:t xml:space="preserve"> is ensuring real risks of consumer and business detriment are</w:t>
      </w:r>
      <w:r w:rsidR="003C4F41" w:rsidRPr="00E35F91">
        <w:rPr>
          <w:rFonts w:ascii="Segoe UI" w:hAnsi="Segoe UI" w:cs="Segoe UI"/>
          <w:color w:val="auto"/>
          <w:sz w:val="20"/>
        </w:rPr>
        <w:t xml:space="preserve"> evidence based and</w:t>
      </w:r>
      <w:r w:rsidRPr="00E35F91">
        <w:rPr>
          <w:rFonts w:ascii="Segoe UI" w:hAnsi="Segoe UI" w:cs="Segoe UI"/>
          <w:color w:val="auto"/>
          <w:sz w:val="20"/>
        </w:rPr>
        <w:t xml:space="preserve"> addressed with </w:t>
      </w:r>
      <w:r w:rsidR="003C4F41" w:rsidRPr="00E35F91">
        <w:rPr>
          <w:rFonts w:ascii="Segoe UI" w:hAnsi="Segoe UI" w:cs="Segoe UI"/>
          <w:color w:val="auto"/>
          <w:sz w:val="20"/>
        </w:rPr>
        <w:t xml:space="preserve">appropriate levels </w:t>
      </w:r>
      <w:r w:rsidRPr="00E35F91">
        <w:rPr>
          <w:rFonts w:ascii="Segoe UI" w:hAnsi="Segoe UI" w:cs="Segoe UI"/>
          <w:color w:val="auto"/>
          <w:sz w:val="20"/>
        </w:rPr>
        <w:t>of regulatory burden.</w:t>
      </w:r>
      <w:r w:rsidR="003C4F41" w:rsidRPr="00E35F91">
        <w:rPr>
          <w:rFonts w:ascii="Segoe UI" w:hAnsi="Segoe UI" w:cs="Segoe UI"/>
          <w:color w:val="auto"/>
          <w:sz w:val="20"/>
        </w:rPr>
        <w:t xml:space="preserve">   This won’t be achieved </w:t>
      </w:r>
      <w:r w:rsidR="00C75BA4" w:rsidRPr="00E35F91">
        <w:rPr>
          <w:rFonts w:ascii="Segoe UI" w:hAnsi="Segoe UI" w:cs="Segoe UI"/>
          <w:color w:val="auto"/>
          <w:sz w:val="20"/>
        </w:rPr>
        <w:t>with measures that treat all consumers as vulnerable or disadvantaged.</w:t>
      </w:r>
      <w:r w:rsidR="003C4F41" w:rsidRPr="00E35F91">
        <w:rPr>
          <w:rFonts w:ascii="Segoe UI" w:hAnsi="Segoe UI" w:cs="Segoe UI"/>
          <w:color w:val="auto"/>
          <w:sz w:val="20"/>
        </w:rPr>
        <w:t xml:space="preserve">     </w:t>
      </w:r>
      <w:r w:rsidRPr="00E35F91">
        <w:rPr>
          <w:rFonts w:ascii="Segoe UI" w:hAnsi="Segoe UI" w:cs="Segoe UI"/>
          <w:color w:val="auto"/>
          <w:sz w:val="20"/>
        </w:rPr>
        <w:t xml:space="preserve"> </w:t>
      </w:r>
    </w:p>
    <w:p w:rsidR="007610F5" w:rsidRPr="00E35F91" w:rsidRDefault="007610F5" w:rsidP="00DC6360">
      <w:pPr>
        <w:spacing w:before="0" w:after="160" w:line="259" w:lineRule="auto"/>
        <w:jc w:val="both"/>
        <w:rPr>
          <w:rFonts w:ascii="Segoe UI" w:hAnsi="Segoe UI" w:cs="Segoe UI"/>
          <w:color w:val="auto"/>
          <w:sz w:val="20"/>
        </w:rPr>
      </w:pPr>
      <w:r w:rsidRPr="00E35F91">
        <w:rPr>
          <w:rFonts w:ascii="Segoe UI" w:hAnsi="Segoe UI" w:cs="Segoe UI"/>
          <w:color w:val="auto"/>
          <w:sz w:val="20"/>
        </w:rPr>
        <w:t xml:space="preserve">DSA welcomes attempts to clarify, simplify and streamline </w:t>
      </w:r>
      <w:r w:rsidR="000326AF" w:rsidRPr="00E35F91">
        <w:rPr>
          <w:rFonts w:ascii="Segoe UI" w:hAnsi="Segoe UI" w:cs="Segoe UI"/>
          <w:color w:val="auto"/>
          <w:sz w:val="20"/>
        </w:rPr>
        <w:t>the Australian Consumer Law (ACL)</w:t>
      </w:r>
      <w:r w:rsidRPr="00E35F91">
        <w:rPr>
          <w:rFonts w:ascii="Segoe UI" w:hAnsi="Segoe UI" w:cs="Segoe UI"/>
          <w:color w:val="auto"/>
          <w:sz w:val="20"/>
        </w:rPr>
        <w:t xml:space="preserve"> for better understanding, and importantly “future proofing” it to maintain appropriate levels of consumer protection from emerging business practices.</w:t>
      </w:r>
      <w:r w:rsidR="00377EA4" w:rsidRPr="00E35F91">
        <w:rPr>
          <w:rFonts w:ascii="Segoe UI" w:hAnsi="Segoe UI" w:cs="Segoe UI"/>
          <w:color w:val="auto"/>
          <w:sz w:val="20"/>
        </w:rPr>
        <w:t xml:space="preserve">   Currently</w:t>
      </w:r>
      <w:r w:rsidR="00CD0A70" w:rsidRPr="00E35F91">
        <w:rPr>
          <w:rFonts w:ascii="Segoe UI" w:hAnsi="Segoe UI" w:cs="Segoe UI"/>
          <w:color w:val="auto"/>
          <w:sz w:val="20"/>
        </w:rPr>
        <w:t>,</w:t>
      </w:r>
      <w:r w:rsidR="00377EA4" w:rsidRPr="00E35F91">
        <w:rPr>
          <w:rFonts w:ascii="Segoe UI" w:hAnsi="Segoe UI" w:cs="Segoe UI"/>
          <w:color w:val="auto"/>
          <w:sz w:val="20"/>
        </w:rPr>
        <w:t xml:space="preserve"> the uncertainty for DSA members and their </w:t>
      </w:r>
      <w:r w:rsidR="00CD0A70" w:rsidRPr="00E35F91">
        <w:rPr>
          <w:rFonts w:ascii="Segoe UI" w:hAnsi="Segoe UI" w:cs="Segoe UI"/>
          <w:color w:val="auto"/>
          <w:sz w:val="20"/>
        </w:rPr>
        <w:t xml:space="preserve">independent </w:t>
      </w:r>
      <w:r w:rsidR="00377EA4" w:rsidRPr="00E35F91">
        <w:rPr>
          <w:rFonts w:ascii="Segoe UI" w:hAnsi="Segoe UI" w:cs="Segoe UI"/>
          <w:color w:val="auto"/>
          <w:sz w:val="20"/>
        </w:rPr>
        <w:t xml:space="preserve">distributors in interpreting and complying with </w:t>
      </w:r>
      <w:r w:rsidR="003414DC" w:rsidRPr="00E35F91">
        <w:rPr>
          <w:rFonts w:ascii="Segoe UI" w:hAnsi="Segoe UI" w:cs="Segoe UI"/>
          <w:color w:val="auto"/>
          <w:sz w:val="20"/>
        </w:rPr>
        <w:t xml:space="preserve">aspects of </w:t>
      </w:r>
      <w:r w:rsidR="00377EA4" w:rsidRPr="00E35F91">
        <w:rPr>
          <w:rFonts w:ascii="Segoe UI" w:hAnsi="Segoe UI" w:cs="Segoe UI"/>
          <w:color w:val="auto"/>
          <w:sz w:val="20"/>
        </w:rPr>
        <w:t xml:space="preserve">the ACL exposes them to </w:t>
      </w:r>
      <w:r w:rsidR="000326AF" w:rsidRPr="00E35F91">
        <w:rPr>
          <w:rFonts w:ascii="Segoe UI" w:hAnsi="Segoe UI" w:cs="Segoe UI"/>
          <w:color w:val="auto"/>
          <w:sz w:val="20"/>
        </w:rPr>
        <w:t>unacceptable</w:t>
      </w:r>
      <w:r w:rsidR="00377EA4" w:rsidRPr="00E35F91">
        <w:rPr>
          <w:rFonts w:ascii="Segoe UI" w:hAnsi="Segoe UI" w:cs="Segoe UI"/>
          <w:color w:val="auto"/>
          <w:sz w:val="20"/>
        </w:rPr>
        <w:t xml:space="preserve"> risk and cost </w:t>
      </w:r>
      <w:r w:rsidR="003414DC" w:rsidRPr="00E35F91">
        <w:rPr>
          <w:rFonts w:ascii="Segoe UI" w:hAnsi="Segoe UI" w:cs="Segoe UI"/>
          <w:color w:val="auto"/>
          <w:sz w:val="20"/>
        </w:rPr>
        <w:t xml:space="preserve">against minimal </w:t>
      </w:r>
      <w:r w:rsidR="00377EA4" w:rsidRPr="00E35F91">
        <w:rPr>
          <w:rFonts w:ascii="Segoe UI" w:hAnsi="Segoe UI" w:cs="Segoe UI"/>
          <w:color w:val="auto"/>
          <w:sz w:val="20"/>
        </w:rPr>
        <w:t>risk of consumer detriment.   DSA believes th</w:t>
      </w:r>
      <w:r w:rsidR="003414DC" w:rsidRPr="00E35F91">
        <w:rPr>
          <w:rFonts w:ascii="Segoe UI" w:hAnsi="Segoe UI" w:cs="Segoe UI"/>
          <w:color w:val="auto"/>
          <w:sz w:val="20"/>
        </w:rPr>
        <w:t xml:space="preserve">is has and continues to adversely affect </w:t>
      </w:r>
      <w:r w:rsidR="008C180F" w:rsidRPr="00E35F91">
        <w:rPr>
          <w:rFonts w:ascii="Segoe UI" w:hAnsi="Segoe UI" w:cs="Segoe UI"/>
          <w:color w:val="auto"/>
          <w:sz w:val="20"/>
        </w:rPr>
        <w:t>its members’</w:t>
      </w:r>
      <w:r w:rsidR="003414DC" w:rsidRPr="00E35F91">
        <w:rPr>
          <w:rFonts w:ascii="Segoe UI" w:hAnsi="Segoe UI" w:cs="Segoe UI"/>
          <w:color w:val="auto"/>
          <w:sz w:val="20"/>
        </w:rPr>
        <w:t xml:space="preserve"> retail competitiveness and growth.</w:t>
      </w:r>
    </w:p>
    <w:p w:rsidR="00CD0A70" w:rsidRPr="00E35F91" w:rsidRDefault="00CD0A70" w:rsidP="00DC6360">
      <w:pPr>
        <w:spacing w:before="0" w:after="160" w:line="259" w:lineRule="auto"/>
        <w:jc w:val="both"/>
        <w:rPr>
          <w:rFonts w:ascii="Segoe UI" w:hAnsi="Segoe UI" w:cs="Segoe UI"/>
          <w:color w:val="auto"/>
          <w:sz w:val="20"/>
        </w:rPr>
      </w:pPr>
      <w:r w:rsidRPr="00E35F91">
        <w:rPr>
          <w:rFonts w:ascii="Segoe UI" w:hAnsi="Segoe UI" w:cs="Segoe UI"/>
          <w:color w:val="auto"/>
          <w:sz w:val="20"/>
        </w:rPr>
        <w:t>DSA’s response to specific questions in the Interim Report are set out below.</w:t>
      </w:r>
    </w:p>
    <w:p w:rsidR="00E27A50" w:rsidRPr="00E35F91" w:rsidRDefault="00E27A50" w:rsidP="00DC6360">
      <w:pPr>
        <w:tabs>
          <w:tab w:val="left" w:pos="540"/>
        </w:tabs>
        <w:spacing w:before="0" w:after="160" w:line="259" w:lineRule="auto"/>
        <w:jc w:val="both"/>
        <w:rPr>
          <w:rFonts w:ascii="Segoe UI" w:hAnsi="Segoe UI" w:cs="Segoe UI"/>
          <w:b/>
          <w:color w:val="auto"/>
          <w:sz w:val="20"/>
        </w:rPr>
      </w:pPr>
      <w:r w:rsidRPr="00E35F91">
        <w:rPr>
          <w:rFonts w:ascii="Segoe UI" w:hAnsi="Segoe UI" w:cs="Segoe UI"/>
          <w:b/>
          <w:color w:val="auto"/>
          <w:sz w:val="20"/>
        </w:rPr>
        <w:t>1.2</w:t>
      </w:r>
      <w:r w:rsidRPr="00E35F91">
        <w:rPr>
          <w:rFonts w:ascii="Segoe UI" w:hAnsi="Segoe UI" w:cs="Segoe UI"/>
          <w:b/>
          <w:color w:val="auto"/>
          <w:sz w:val="20"/>
        </w:rPr>
        <w:tab/>
        <w:t>Scope and coverage of the ACL</w:t>
      </w:r>
    </w:p>
    <w:p w:rsidR="00E27A50" w:rsidRPr="00E35F91" w:rsidRDefault="00E27A50" w:rsidP="00DC6360">
      <w:pPr>
        <w:tabs>
          <w:tab w:val="left" w:pos="720"/>
        </w:tabs>
        <w:spacing w:before="0" w:after="160" w:line="259" w:lineRule="auto"/>
        <w:jc w:val="both"/>
        <w:rPr>
          <w:rFonts w:ascii="Segoe UI" w:hAnsi="Segoe UI" w:cs="Segoe UI"/>
          <w:b/>
          <w:color w:val="auto"/>
          <w:sz w:val="20"/>
        </w:rPr>
      </w:pPr>
      <w:r w:rsidRPr="00E35F91">
        <w:rPr>
          <w:rFonts w:ascii="Segoe UI" w:hAnsi="Segoe UI" w:cs="Segoe UI"/>
          <w:b/>
          <w:color w:val="auto"/>
          <w:sz w:val="20"/>
        </w:rPr>
        <w:t>1.2.3</w:t>
      </w:r>
      <w:r w:rsidRPr="00E35F91">
        <w:rPr>
          <w:rFonts w:ascii="Segoe UI" w:hAnsi="Segoe UI" w:cs="Segoe UI"/>
          <w:b/>
          <w:color w:val="auto"/>
          <w:sz w:val="20"/>
        </w:rPr>
        <w:tab/>
        <w:t>Fundraising activities and the ACL</w:t>
      </w:r>
    </w:p>
    <w:p w:rsidR="00E27A50" w:rsidRPr="00E35F91" w:rsidRDefault="00E27A50" w:rsidP="00DC6360">
      <w:pPr>
        <w:pStyle w:val="TableTextLeft-NumberingAppB"/>
        <w:ind w:left="340" w:hanging="340"/>
        <w:jc w:val="both"/>
        <w:rPr>
          <w:rFonts w:ascii="Segoe UI" w:hAnsi="Segoe UI" w:cs="Segoe UI"/>
          <w:i/>
          <w:color w:val="002060"/>
        </w:rPr>
      </w:pPr>
      <w:r w:rsidRPr="00E35F91">
        <w:rPr>
          <w:rFonts w:ascii="Segoe UI" w:hAnsi="Segoe UI" w:cs="Segoe UI"/>
          <w:i/>
          <w:color w:val="002060"/>
        </w:rPr>
        <w:t>Would further regulator guidance on the ACL’s application to the activities of charities, not</w:t>
      </w:r>
      <w:r w:rsidRPr="00E35F91">
        <w:rPr>
          <w:rFonts w:ascii="Segoe UI" w:hAnsi="Segoe UI" w:cs="Segoe UI"/>
          <w:i/>
          <w:color w:val="002060"/>
        </w:rPr>
        <w:noBreakHyphen/>
        <w:t>for</w:t>
      </w:r>
      <w:r w:rsidRPr="00E35F91">
        <w:rPr>
          <w:rFonts w:ascii="Segoe UI" w:hAnsi="Segoe UI" w:cs="Segoe UI"/>
          <w:i/>
          <w:color w:val="002060"/>
        </w:rPr>
        <w:noBreakHyphen/>
        <w:t>profits and fundraisers help raise consumer awareness and provide greater clarity to the sector?</w:t>
      </w:r>
    </w:p>
    <w:p w:rsidR="00E27A50" w:rsidRPr="00E35F91" w:rsidRDefault="00E27A50" w:rsidP="00DC6360">
      <w:pPr>
        <w:pStyle w:val="TableTextLeft-Bullet-IndentAppB"/>
        <w:jc w:val="both"/>
        <w:rPr>
          <w:rFonts w:ascii="Segoe UI" w:hAnsi="Segoe UI" w:cs="Segoe UI"/>
          <w:i/>
          <w:color w:val="002060"/>
        </w:rPr>
      </w:pPr>
      <w:r w:rsidRPr="00E35F91">
        <w:rPr>
          <w:rFonts w:ascii="Segoe UI" w:hAnsi="Segoe UI" w:cs="Segoe UI"/>
          <w:i/>
          <w:color w:val="002060"/>
        </w:rPr>
        <w:t>If so, what should be included in this guidance?</w:t>
      </w:r>
    </w:p>
    <w:p w:rsidR="00E27A50" w:rsidRPr="00E35F91" w:rsidRDefault="00E27A50" w:rsidP="00DC6360">
      <w:pPr>
        <w:pStyle w:val="TableTextLeft-NumberingAppB"/>
        <w:ind w:left="340" w:hanging="340"/>
        <w:jc w:val="both"/>
        <w:rPr>
          <w:rFonts w:ascii="Segoe UI" w:hAnsi="Segoe UI" w:cs="Segoe UI"/>
          <w:i/>
          <w:color w:val="002060"/>
        </w:rPr>
      </w:pPr>
      <w:r w:rsidRPr="00E35F91">
        <w:rPr>
          <w:rFonts w:ascii="Segoe UI" w:hAnsi="Segoe UI" w:cs="Segoe UI"/>
          <w:i/>
          <w:color w:val="002060"/>
        </w:rPr>
        <w:t>Are there currently any regulatory gaps with regard to consumer protection and fundraising activities? If so:</w:t>
      </w:r>
    </w:p>
    <w:p w:rsidR="00E27A50" w:rsidRPr="00E35F91" w:rsidRDefault="00E27A50" w:rsidP="00DC6360">
      <w:pPr>
        <w:pStyle w:val="TableTextLeft-Bullet-IndentAppB"/>
        <w:jc w:val="both"/>
        <w:rPr>
          <w:rFonts w:ascii="Segoe UI" w:hAnsi="Segoe UI" w:cs="Segoe UI"/>
          <w:i/>
          <w:color w:val="002060"/>
        </w:rPr>
      </w:pPr>
      <w:r w:rsidRPr="00E35F91">
        <w:rPr>
          <w:rFonts w:ascii="Segoe UI" w:hAnsi="Segoe UI" w:cs="Segoe UI"/>
          <w:i/>
          <w:color w:val="002060"/>
        </w:rPr>
        <w:t>What is the extent of harmful conduct or consumer detriment that falls within these regulatory gaps or ‘grey areas’, and does it require regulatory intervention?</w:t>
      </w:r>
    </w:p>
    <w:p w:rsidR="00E27A50" w:rsidRPr="00E35F91" w:rsidRDefault="00E27A50" w:rsidP="00DC6360">
      <w:pPr>
        <w:pStyle w:val="TableTextLeft-Bullet-IndentAppB"/>
        <w:jc w:val="both"/>
        <w:rPr>
          <w:rFonts w:ascii="Segoe UI" w:hAnsi="Segoe UI" w:cs="Segoe UI"/>
          <w:i/>
          <w:color w:val="002060"/>
        </w:rPr>
      </w:pPr>
      <w:r w:rsidRPr="00E35F91">
        <w:rPr>
          <w:rFonts w:ascii="Segoe UI" w:hAnsi="Segoe UI" w:cs="Segoe UI"/>
          <w:i/>
          <w:color w:val="002060"/>
        </w:rPr>
        <w:t>Would generic protections, such as the ACL, provide the level of regulatory detail necessary to address identified areas of detriment? What would be the benefits and costs of this approach?</w:t>
      </w:r>
    </w:p>
    <w:p w:rsidR="00E27A50" w:rsidRPr="00E35F91" w:rsidRDefault="00E27A50" w:rsidP="00DC6360">
      <w:pPr>
        <w:pStyle w:val="TableTextLeft-Bullet-IndentAppB"/>
        <w:jc w:val="both"/>
        <w:rPr>
          <w:rFonts w:ascii="Segoe UI" w:hAnsi="Segoe UI" w:cs="Segoe UI"/>
          <w:i/>
          <w:color w:val="002060"/>
        </w:rPr>
      </w:pPr>
      <w:r w:rsidRPr="00E35F91">
        <w:rPr>
          <w:rFonts w:ascii="Segoe UI" w:hAnsi="Segoe UI" w:cs="Segoe UI"/>
          <w:i/>
          <w:color w:val="002060"/>
        </w:rPr>
        <w:lastRenderedPageBreak/>
        <w:t>Would there be any unintended consequences, risks and challenges from extending the application of the ACL to address regulatory gaps for fundraising activities? If so, how could they be addressed?</w:t>
      </w:r>
    </w:p>
    <w:p w:rsidR="00E27A50" w:rsidRPr="00E35F91" w:rsidRDefault="00E27A50" w:rsidP="00DC6360">
      <w:pPr>
        <w:pStyle w:val="TableTextLeft-NumberingAppB"/>
        <w:ind w:left="340" w:hanging="340"/>
        <w:jc w:val="both"/>
        <w:rPr>
          <w:rFonts w:ascii="Segoe UI" w:hAnsi="Segoe UI" w:cs="Segoe UI"/>
          <w:i/>
          <w:color w:val="002060"/>
        </w:rPr>
      </w:pPr>
      <w:r w:rsidRPr="00E35F91">
        <w:rPr>
          <w:rFonts w:ascii="Segoe UI" w:hAnsi="Segoe UI" w:cs="Segoe UI"/>
          <w:i/>
          <w:color w:val="002060"/>
        </w:rPr>
        <w:t>Would extending the ACL to all fundraising activities be necessary or desirable to facilitate potential reforms of state and territory fundraising regulation?</w:t>
      </w:r>
    </w:p>
    <w:p w:rsidR="00E27A50" w:rsidRPr="00E35F91" w:rsidRDefault="00D05DD8"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Many</w:t>
      </w:r>
      <w:r w:rsidR="00E27A50" w:rsidRPr="00E35F91">
        <w:rPr>
          <w:rFonts w:ascii="Segoe UI" w:hAnsi="Segoe UI" w:cs="Segoe UI"/>
          <w:color w:val="auto"/>
          <w:sz w:val="20"/>
        </w:rPr>
        <w:t xml:space="preserve"> DSA members operate foundations </w:t>
      </w:r>
      <w:r w:rsidR="000326AF" w:rsidRPr="00E35F91">
        <w:rPr>
          <w:rFonts w:ascii="Segoe UI" w:hAnsi="Segoe UI" w:cs="Segoe UI"/>
          <w:color w:val="auto"/>
          <w:sz w:val="20"/>
        </w:rPr>
        <w:t>or</w:t>
      </w:r>
      <w:r w:rsidR="00E27A50" w:rsidRPr="00E35F91">
        <w:rPr>
          <w:rFonts w:ascii="Segoe UI" w:hAnsi="Segoe UI" w:cs="Segoe UI"/>
          <w:color w:val="auto"/>
          <w:sz w:val="20"/>
        </w:rPr>
        <w:t xml:space="preserve"> other entities that conduct </w:t>
      </w:r>
      <w:r w:rsidR="00CD0A70" w:rsidRPr="00E35F91">
        <w:rPr>
          <w:rFonts w:ascii="Segoe UI" w:hAnsi="Segoe UI" w:cs="Segoe UI"/>
          <w:color w:val="auto"/>
          <w:sz w:val="20"/>
        </w:rPr>
        <w:t xml:space="preserve">charitable </w:t>
      </w:r>
      <w:r w:rsidR="000326AF" w:rsidRPr="00E35F91">
        <w:rPr>
          <w:rFonts w:ascii="Segoe UI" w:hAnsi="Segoe UI" w:cs="Segoe UI"/>
          <w:color w:val="auto"/>
          <w:sz w:val="20"/>
        </w:rPr>
        <w:t xml:space="preserve">fundraising.   </w:t>
      </w:r>
      <w:r w:rsidR="00E27A50" w:rsidRPr="00E35F91">
        <w:rPr>
          <w:rFonts w:ascii="Segoe UI" w:hAnsi="Segoe UI" w:cs="Segoe UI"/>
          <w:color w:val="auto"/>
          <w:sz w:val="20"/>
        </w:rPr>
        <w:t xml:space="preserve">DSA is unaware of any </w:t>
      </w:r>
      <w:r w:rsidR="00DD4007" w:rsidRPr="00E35F91">
        <w:rPr>
          <w:rFonts w:ascii="Segoe UI" w:hAnsi="Segoe UI" w:cs="Segoe UI"/>
          <w:color w:val="auto"/>
          <w:sz w:val="20"/>
        </w:rPr>
        <w:t>A</w:t>
      </w:r>
      <w:r w:rsidR="00E27A50" w:rsidRPr="00E35F91">
        <w:rPr>
          <w:rFonts w:ascii="Segoe UI" w:hAnsi="Segoe UI" w:cs="Segoe UI"/>
          <w:color w:val="auto"/>
          <w:sz w:val="20"/>
        </w:rPr>
        <w:t>CL issues in the conduct of this activity.</w:t>
      </w:r>
      <w:r w:rsidRPr="00E35F91">
        <w:rPr>
          <w:rFonts w:ascii="Segoe UI" w:hAnsi="Segoe UI" w:cs="Segoe UI"/>
          <w:color w:val="auto"/>
          <w:sz w:val="20"/>
        </w:rPr>
        <w:t xml:space="preserve">   In principle, the experience of the A</w:t>
      </w:r>
      <w:r w:rsidR="004D4D13" w:rsidRPr="00E35F91">
        <w:rPr>
          <w:rFonts w:ascii="Segoe UI" w:hAnsi="Segoe UI" w:cs="Segoe UI"/>
          <w:color w:val="auto"/>
          <w:sz w:val="20"/>
        </w:rPr>
        <w:t xml:space="preserve">CL’s </w:t>
      </w:r>
      <w:r w:rsidRPr="00E35F91">
        <w:rPr>
          <w:rFonts w:ascii="Segoe UI" w:hAnsi="Segoe UI" w:cs="Segoe UI"/>
          <w:color w:val="auto"/>
          <w:sz w:val="20"/>
        </w:rPr>
        <w:t xml:space="preserve">general protections, but not its </w:t>
      </w:r>
      <w:r w:rsidR="00AB006A" w:rsidRPr="00E35F91">
        <w:rPr>
          <w:rFonts w:ascii="Segoe UI" w:hAnsi="Segoe UI" w:cs="Segoe UI"/>
          <w:color w:val="auto"/>
          <w:sz w:val="20"/>
        </w:rPr>
        <w:t xml:space="preserve">purported </w:t>
      </w:r>
      <w:r w:rsidRPr="00E35F91">
        <w:rPr>
          <w:rFonts w:ascii="Segoe UI" w:hAnsi="Segoe UI" w:cs="Segoe UI"/>
          <w:color w:val="auto"/>
          <w:sz w:val="20"/>
        </w:rPr>
        <w:t>contro</w:t>
      </w:r>
      <w:r w:rsidR="00AB006A" w:rsidRPr="00E35F91">
        <w:rPr>
          <w:rFonts w:ascii="Segoe UI" w:hAnsi="Segoe UI" w:cs="Segoe UI"/>
          <w:color w:val="auto"/>
          <w:sz w:val="20"/>
        </w:rPr>
        <w:t>l</w:t>
      </w:r>
      <w:r w:rsidRPr="00E35F91">
        <w:rPr>
          <w:rFonts w:ascii="Segoe UI" w:hAnsi="Segoe UI" w:cs="Segoe UI"/>
          <w:color w:val="auto"/>
          <w:sz w:val="20"/>
        </w:rPr>
        <w:t xml:space="preserve"> of unsolicited </w:t>
      </w:r>
      <w:r w:rsidR="00AB006A" w:rsidRPr="00E35F91">
        <w:rPr>
          <w:rFonts w:ascii="Segoe UI" w:hAnsi="Segoe UI" w:cs="Segoe UI"/>
          <w:color w:val="auto"/>
          <w:sz w:val="20"/>
        </w:rPr>
        <w:t xml:space="preserve">consumer </w:t>
      </w:r>
      <w:r w:rsidRPr="00E35F91">
        <w:rPr>
          <w:rFonts w:ascii="Segoe UI" w:hAnsi="Segoe UI" w:cs="Segoe UI"/>
          <w:color w:val="auto"/>
          <w:sz w:val="20"/>
        </w:rPr>
        <w:t xml:space="preserve">agreements, could be instructive for national fundraising.   </w:t>
      </w:r>
      <w:r w:rsidR="00AB006A" w:rsidRPr="00E35F91">
        <w:rPr>
          <w:rFonts w:ascii="Segoe UI" w:hAnsi="Segoe UI" w:cs="Segoe UI"/>
          <w:color w:val="auto"/>
          <w:sz w:val="20"/>
        </w:rPr>
        <w:t>In</w:t>
      </w:r>
      <w:r w:rsidRPr="00E35F91">
        <w:rPr>
          <w:rFonts w:ascii="Segoe UI" w:hAnsi="Segoe UI" w:cs="Segoe UI"/>
          <w:color w:val="auto"/>
          <w:sz w:val="20"/>
        </w:rPr>
        <w:t xml:space="preserve"> the absence of empirical support for reform</w:t>
      </w:r>
      <w:r w:rsidR="00AB006A" w:rsidRPr="00E35F91">
        <w:rPr>
          <w:rFonts w:ascii="Segoe UI" w:hAnsi="Segoe UI" w:cs="Segoe UI"/>
          <w:color w:val="auto"/>
          <w:sz w:val="20"/>
        </w:rPr>
        <w:t xml:space="preserve"> however, DSA</w:t>
      </w:r>
      <w:r w:rsidRPr="00E35F91">
        <w:rPr>
          <w:rFonts w:ascii="Segoe UI" w:hAnsi="Segoe UI" w:cs="Segoe UI"/>
          <w:color w:val="auto"/>
          <w:sz w:val="20"/>
        </w:rPr>
        <w:t xml:space="preserve"> </w:t>
      </w:r>
      <w:r w:rsidR="00AB006A" w:rsidRPr="00E35F91">
        <w:rPr>
          <w:rFonts w:ascii="Segoe UI" w:hAnsi="Segoe UI" w:cs="Segoe UI"/>
          <w:color w:val="auto"/>
          <w:sz w:val="20"/>
        </w:rPr>
        <w:t xml:space="preserve">suggests </w:t>
      </w:r>
      <w:r w:rsidRPr="00E35F91">
        <w:rPr>
          <w:rFonts w:ascii="Segoe UI" w:hAnsi="Segoe UI" w:cs="Segoe UI"/>
          <w:color w:val="auto"/>
          <w:sz w:val="20"/>
        </w:rPr>
        <w:t>the appropriate course is Option</w:t>
      </w:r>
      <w:r w:rsidR="000326AF" w:rsidRPr="00E35F91">
        <w:rPr>
          <w:rFonts w:ascii="Segoe UI" w:hAnsi="Segoe UI" w:cs="Segoe UI"/>
          <w:color w:val="auto"/>
          <w:sz w:val="20"/>
        </w:rPr>
        <w:t xml:space="preserve"> </w:t>
      </w:r>
      <w:r w:rsidRPr="00E35F91">
        <w:rPr>
          <w:rFonts w:ascii="Segoe UI" w:hAnsi="Segoe UI" w:cs="Segoe UI"/>
          <w:color w:val="auto"/>
          <w:sz w:val="20"/>
        </w:rPr>
        <w:t xml:space="preserve">1, clarifying the ACL’s current application and </w:t>
      </w:r>
      <w:r w:rsidR="00AB006A" w:rsidRPr="00E35F91">
        <w:rPr>
          <w:rFonts w:ascii="Segoe UI" w:hAnsi="Segoe UI" w:cs="Segoe UI"/>
          <w:color w:val="auto"/>
          <w:sz w:val="20"/>
        </w:rPr>
        <w:t xml:space="preserve">detailed </w:t>
      </w:r>
      <w:r w:rsidR="009C285B" w:rsidRPr="00E35F91">
        <w:rPr>
          <w:rFonts w:ascii="Segoe UI" w:hAnsi="Segoe UI" w:cs="Segoe UI"/>
          <w:color w:val="auto"/>
          <w:sz w:val="20"/>
        </w:rPr>
        <w:t>investigation to show</w:t>
      </w:r>
      <w:r w:rsidRPr="00E35F91">
        <w:rPr>
          <w:rFonts w:ascii="Segoe UI" w:hAnsi="Segoe UI" w:cs="Segoe UI"/>
          <w:color w:val="auto"/>
          <w:sz w:val="20"/>
        </w:rPr>
        <w:t xml:space="preserve"> </w:t>
      </w:r>
      <w:r w:rsidR="009C285B" w:rsidRPr="00E35F91">
        <w:rPr>
          <w:rFonts w:ascii="Segoe UI" w:hAnsi="Segoe UI" w:cs="Segoe UI"/>
          <w:color w:val="auto"/>
          <w:sz w:val="20"/>
        </w:rPr>
        <w:t>if</w:t>
      </w:r>
      <w:r w:rsidRPr="00E35F91">
        <w:rPr>
          <w:rFonts w:ascii="Segoe UI" w:hAnsi="Segoe UI" w:cs="Segoe UI"/>
          <w:color w:val="auto"/>
          <w:sz w:val="20"/>
        </w:rPr>
        <w:t xml:space="preserve"> there are regulatory gaps </w:t>
      </w:r>
      <w:r w:rsidR="009C285B" w:rsidRPr="00E35F91">
        <w:rPr>
          <w:rFonts w:ascii="Segoe UI" w:hAnsi="Segoe UI" w:cs="Segoe UI"/>
          <w:color w:val="auto"/>
          <w:sz w:val="20"/>
        </w:rPr>
        <w:t>warranting</w:t>
      </w:r>
      <w:r w:rsidRPr="00E35F91">
        <w:rPr>
          <w:rFonts w:ascii="Segoe UI" w:hAnsi="Segoe UI" w:cs="Segoe UI"/>
          <w:color w:val="auto"/>
          <w:sz w:val="20"/>
        </w:rPr>
        <w:t xml:space="preserve"> intervention.</w:t>
      </w:r>
    </w:p>
    <w:p w:rsidR="00E27A50" w:rsidRPr="00E35F91" w:rsidRDefault="00E27A50" w:rsidP="00DC6360">
      <w:pPr>
        <w:tabs>
          <w:tab w:val="left" w:pos="720"/>
        </w:tabs>
        <w:spacing w:before="0" w:after="160" w:line="259" w:lineRule="auto"/>
        <w:jc w:val="both"/>
        <w:rPr>
          <w:rFonts w:ascii="Segoe UI" w:hAnsi="Segoe UI" w:cs="Segoe UI"/>
          <w:b/>
          <w:color w:val="auto"/>
          <w:sz w:val="20"/>
        </w:rPr>
      </w:pPr>
      <w:r w:rsidRPr="00E35F91">
        <w:rPr>
          <w:rFonts w:ascii="Segoe UI" w:hAnsi="Segoe UI" w:cs="Segoe UI"/>
          <w:b/>
          <w:color w:val="auto"/>
          <w:sz w:val="20"/>
        </w:rPr>
        <w:t>1.2.4</w:t>
      </w:r>
      <w:r w:rsidRPr="00E35F91">
        <w:rPr>
          <w:rFonts w:ascii="Segoe UI" w:hAnsi="Segoe UI" w:cs="Segoe UI"/>
          <w:b/>
          <w:color w:val="auto"/>
          <w:sz w:val="20"/>
        </w:rPr>
        <w:tab/>
        <w:t>Who is protected under the ACL</w:t>
      </w:r>
    </w:p>
    <w:p w:rsidR="00E27A50" w:rsidRPr="00E35F91" w:rsidRDefault="00E27A50" w:rsidP="00DC6360">
      <w:pPr>
        <w:pStyle w:val="TableTextLeft-NumberingAppB"/>
        <w:ind w:left="340" w:hanging="340"/>
        <w:jc w:val="both"/>
        <w:rPr>
          <w:rFonts w:ascii="Segoe UI" w:hAnsi="Segoe UI" w:cs="Segoe UI"/>
          <w:i/>
          <w:color w:val="002060"/>
        </w:rPr>
      </w:pPr>
      <w:r w:rsidRPr="00E35F91">
        <w:rPr>
          <w:rFonts w:ascii="Segoe UI" w:hAnsi="Segoe UI" w:cs="Segoe UI"/>
          <w:i/>
          <w:color w:val="002060"/>
        </w:rPr>
        <w:t>Should the $40,000 threshold for the definition of ‘consumer’ be amended? If so, what should the new threshold (if any) be and why?</w:t>
      </w:r>
    </w:p>
    <w:p w:rsidR="00E27A50" w:rsidRPr="00E35F91" w:rsidRDefault="00EE3412"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DSA notes</w:t>
      </w:r>
      <w:r w:rsidR="00EB1E12" w:rsidRPr="00E35F91">
        <w:rPr>
          <w:rFonts w:ascii="Segoe UI" w:hAnsi="Segoe UI" w:cs="Segoe UI"/>
          <w:color w:val="auto"/>
          <w:sz w:val="20"/>
        </w:rPr>
        <w:t xml:space="preserve"> </w:t>
      </w:r>
      <w:r w:rsidR="00AB006A" w:rsidRPr="00E35F91">
        <w:rPr>
          <w:rFonts w:ascii="Segoe UI" w:hAnsi="Segoe UI" w:cs="Segoe UI"/>
          <w:color w:val="auto"/>
          <w:sz w:val="20"/>
        </w:rPr>
        <w:t>v</w:t>
      </w:r>
      <w:r w:rsidR="00EB1E12" w:rsidRPr="00E35F91">
        <w:rPr>
          <w:rFonts w:ascii="Segoe UI" w:hAnsi="Segoe UI" w:cs="Segoe UI"/>
          <w:color w:val="auto"/>
          <w:sz w:val="20"/>
        </w:rPr>
        <w:t>ariation in the</w:t>
      </w:r>
      <w:r w:rsidRPr="00E35F91">
        <w:rPr>
          <w:rFonts w:ascii="Segoe UI" w:hAnsi="Segoe UI" w:cs="Segoe UI"/>
          <w:color w:val="auto"/>
          <w:sz w:val="20"/>
        </w:rPr>
        <w:t xml:space="preserve"> meaning of</w:t>
      </w:r>
      <w:r w:rsidR="00EB1E12" w:rsidRPr="00E35F91">
        <w:rPr>
          <w:rFonts w:ascii="Segoe UI" w:hAnsi="Segoe UI" w:cs="Segoe UI"/>
          <w:color w:val="auto"/>
          <w:sz w:val="20"/>
        </w:rPr>
        <w:t xml:space="preserve"> the term</w:t>
      </w:r>
      <w:r w:rsidRPr="00E35F91">
        <w:rPr>
          <w:rFonts w:ascii="Segoe UI" w:hAnsi="Segoe UI" w:cs="Segoe UI"/>
          <w:color w:val="auto"/>
          <w:sz w:val="20"/>
        </w:rPr>
        <w:t xml:space="preserve"> “consumer” since its prominence</w:t>
      </w:r>
      <w:r w:rsidR="00EB1E12" w:rsidRPr="00E35F91">
        <w:rPr>
          <w:rFonts w:ascii="Segoe UI" w:hAnsi="Segoe UI" w:cs="Segoe UI"/>
          <w:color w:val="auto"/>
          <w:sz w:val="20"/>
        </w:rPr>
        <w:t xml:space="preserve"> in defining </w:t>
      </w:r>
      <w:r w:rsidR="0031264A" w:rsidRPr="00E35F91">
        <w:rPr>
          <w:rFonts w:ascii="Segoe UI" w:hAnsi="Segoe UI" w:cs="Segoe UI"/>
          <w:color w:val="auto"/>
          <w:sz w:val="20"/>
        </w:rPr>
        <w:t xml:space="preserve">an </w:t>
      </w:r>
      <w:r w:rsidR="00F342FF" w:rsidRPr="00E35F91">
        <w:rPr>
          <w:rFonts w:ascii="Segoe UI" w:hAnsi="Segoe UI" w:cs="Segoe UI"/>
          <w:color w:val="auto"/>
          <w:sz w:val="20"/>
        </w:rPr>
        <w:t>acquisition</w:t>
      </w:r>
      <w:r w:rsidR="00EB1E12" w:rsidRPr="00E35F91">
        <w:rPr>
          <w:rFonts w:ascii="Segoe UI" w:hAnsi="Segoe UI" w:cs="Segoe UI"/>
          <w:color w:val="auto"/>
          <w:sz w:val="20"/>
        </w:rPr>
        <w:t xml:space="preserve"> of goods and services for </w:t>
      </w:r>
      <w:r w:rsidR="00F342FF" w:rsidRPr="00E35F91">
        <w:rPr>
          <w:rFonts w:ascii="Segoe UI" w:hAnsi="Segoe UI" w:cs="Segoe UI"/>
          <w:color w:val="auto"/>
          <w:sz w:val="20"/>
        </w:rPr>
        <w:t>personal</w:t>
      </w:r>
      <w:r w:rsidR="00EB1E12" w:rsidRPr="00E35F91">
        <w:rPr>
          <w:rFonts w:ascii="Segoe UI" w:hAnsi="Segoe UI" w:cs="Segoe UI"/>
          <w:color w:val="auto"/>
          <w:sz w:val="20"/>
        </w:rPr>
        <w:t xml:space="preserve"> consumption</w:t>
      </w:r>
      <w:r w:rsidRPr="00E35F91">
        <w:rPr>
          <w:rFonts w:ascii="Segoe UI" w:hAnsi="Segoe UI" w:cs="Segoe UI"/>
          <w:color w:val="auto"/>
          <w:sz w:val="20"/>
        </w:rPr>
        <w:t xml:space="preserve"> in the early sixties</w:t>
      </w:r>
      <w:r w:rsidR="00EB1E12" w:rsidRPr="00E35F91">
        <w:rPr>
          <w:rFonts w:ascii="Segoe UI" w:hAnsi="Segoe UI" w:cs="Segoe UI"/>
          <w:color w:val="auto"/>
          <w:sz w:val="20"/>
        </w:rPr>
        <w:t xml:space="preserve">.   </w:t>
      </w:r>
      <w:r w:rsidR="00E27A50" w:rsidRPr="00E35F91">
        <w:rPr>
          <w:rFonts w:ascii="Segoe UI" w:hAnsi="Segoe UI" w:cs="Segoe UI"/>
          <w:color w:val="auto"/>
          <w:sz w:val="20"/>
        </w:rPr>
        <w:t xml:space="preserve">While a common definition of “consumer” replacing the various </w:t>
      </w:r>
      <w:r w:rsidR="00EB1E12" w:rsidRPr="00E35F91">
        <w:rPr>
          <w:rFonts w:ascii="Segoe UI" w:hAnsi="Segoe UI" w:cs="Segoe UI"/>
          <w:color w:val="auto"/>
          <w:sz w:val="20"/>
        </w:rPr>
        <w:t xml:space="preserve">meanings </w:t>
      </w:r>
      <w:r w:rsidR="00E27A50" w:rsidRPr="00E35F91">
        <w:rPr>
          <w:rFonts w:ascii="Segoe UI" w:hAnsi="Segoe UI" w:cs="Segoe UI"/>
          <w:color w:val="auto"/>
          <w:sz w:val="20"/>
        </w:rPr>
        <w:t xml:space="preserve">outlined in the </w:t>
      </w:r>
      <w:r w:rsidR="00EB1E12" w:rsidRPr="00E35F91">
        <w:rPr>
          <w:rFonts w:ascii="Segoe UI" w:hAnsi="Segoe UI" w:cs="Segoe UI"/>
          <w:color w:val="auto"/>
          <w:sz w:val="20"/>
        </w:rPr>
        <w:t>Interim R</w:t>
      </w:r>
      <w:r w:rsidR="00E27A50" w:rsidRPr="00E35F91">
        <w:rPr>
          <w:rFonts w:ascii="Segoe UI" w:hAnsi="Segoe UI" w:cs="Segoe UI"/>
          <w:color w:val="auto"/>
          <w:sz w:val="20"/>
        </w:rPr>
        <w:t xml:space="preserve">eport may </w:t>
      </w:r>
      <w:r w:rsidR="00F342FF" w:rsidRPr="00E35F91">
        <w:rPr>
          <w:rFonts w:ascii="Segoe UI" w:hAnsi="Segoe UI" w:cs="Segoe UI"/>
          <w:color w:val="auto"/>
          <w:sz w:val="20"/>
        </w:rPr>
        <w:t>be superficially a</w:t>
      </w:r>
      <w:r w:rsidR="00E27A50" w:rsidRPr="00E35F91">
        <w:rPr>
          <w:rFonts w:ascii="Segoe UI" w:hAnsi="Segoe UI" w:cs="Segoe UI"/>
          <w:color w:val="auto"/>
          <w:sz w:val="20"/>
        </w:rPr>
        <w:t xml:space="preserve">ttractive it </w:t>
      </w:r>
      <w:r w:rsidR="0031264A" w:rsidRPr="00E35F91">
        <w:rPr>
          <w:rFonts w:ascii="Segoe UI" w:hAnsi="Segoe UI" w:cs="Segoe UI"/>
          <w:color w:val="auto"/>
          <w:sz w:val="20"/>
        </w:rPr>
        <w:t xml:space="preserve">assumes commonality in levels of consumer and business detriment.   Its meaning needs to reflect </w:t>
      </w:r>
      <w:r w:rsidR="00B55EF2" w:rsidRPr="00E35F91">
        <w:rPr>
          <w:rFonts w:ascii="Segoe UI" w:hAnsi="Segoe UI" w:cs="Segoe UI"/>
          <w:color w:val="auto"/>
          <w:sz w:val="20"/>
        </w:rPr>
        <w:t>established</w:t>
      </w:r>
      <w:r w:rsidR="00AB006A" w:rsidRPr="00E35F91">
        <w:rPr>
          <w:rFonts w:ascii="Segoe UI" w:hAnsi="Segoe UI" w:cs="Segoe UI"/>
          <w:color w:val="auto"/>
          <w:sz w:val="20"/>
        </w:rPr>
        <w:t xml:space="preserve"> detriment.</w:t>
      </w:r>
      <w:r w:rsidR="0031264A" w:rsidRPr="00E35F91">
        <w:rPr>
          <w:rFonts w:ascii="Segoe UI" w:hAnsi="Segoe UI" w:cs="Segoe UI"/>
          <w:color w:val="auto"/>
          <w:sz w:val="20"/>
        </w:rPr>
        <w:t xml:space="preserve">   </w:t>
      </w:r>
      <w:r w:rsidR="00E27A50" w:rsidRPr="00E35F91">
        <w:rPr>
          <w:rFonts w:ascii="Segoe UI" w:hAnsi="Segoe UI" w:cs="Segoe UI"/>
          <w:color w:val="auto"/>
          <w:sz w:val="20"/>
        </w:rPr>
        <w:t xml:space="preserve">DSA also cautions against any change to the long-standing </w:t>
      </w:r>
      <w:r w:rsidR="00377EA4" w:rsidRPr="00E35F91">
        <w:rPr>
          <w:rFonts w:ascii="Segoe UI" w:hAnsi="Segoe UI" w:cs="Segoe UI"/>
          <w:color w:val="auto"/>
          <w:sz w:val="20"/>
        </w:rPr>
        <w:t>“</w:t>
      </w:r>
      <w:r w:rsidR="00E27A50" w:rsidRPr="00E35F91">
        <w:rPr>
          <w:rFonts w:ascii="Segoe UI" w:hAnsi="Segoe UI" w:cs="Segoe UI"/>
          <w:color w:val="auto"/>
          <w:sz w:val="20"/>
        </w:rPr>
        <w:t xml:space="preserve">trade or commerce” threshold </w:t>
      </w:r>
      <w:r w:rsidR="0031264A" w:rsidRPr="00E35F91">
        <w:rPr>
          <w:rFonts w:ascii="Segoe UI" w:hAnsi="Segoe UI" w:cs="Segoe UI"/>
          <w:color w:val="auto"/>
          <w:sz w:val="20"/>
        </w:rPr>
        <w:t>which</w:t>
      </w:r>
      <w:r w:rsidR="00E27A50" w:rsidRPr="00E35F91">
        <w:rPr>
          <w:rFonts w:ascii="Segoe UI" w:hAnsi="Segoe UI" w:cs="Segoe UI"/>
          <w:color w:val="auto"/>
          <w:sz w:val="20"/>
        </w:rPr>
        <w:t xml:space="preserve"> as the</w:t>
      </w:r>
      <w:r w:rsidR="0031264A" w:rsidRPr="00E35F91">
        <w:rPr>
          <w:rFonts w:ascii="Segoe UI" w:hAnsi="Segoe UI" w:cs="Segoe UI"/>
          <w:color w:val="auto"/>
          <w:sz w:val="20"/>
        </w:rPr>
        <w:t xml:space="preserve"> Interim Report</w:t>
      </w:r>
      <w:r w:rsidR="00E27A50" w:rsidRPr="00E35F91">
        <w:rPr>
          <w:rFonts w:ascii="Segoe UI" w:hAnsi="Segoe UI" w:cs="Segoe UI"/>
          <w:color w:val="auto"/>
          <w:sz w:val="20"/>
        </w:rPr>
        <w:t xml:space="preserve"> says underpins the ACL and its objectives.   </w:t>
      </w:r>
      <w:r w:rsidR="00B55EF2" w:rsidRPr="00E35F91">
        <w:rPr>
          <w:rFonts w:ascii="Segoe UI" w:hAnsi="Segoe UI" w:cs="Segoe UI"/>
          <w:color w:val="auto"/>
          <w:sz w:val="20"/>
        </w:rPr>
        <w:t>In</w:t>
      </w:r>
      <w:r w:rsidR="00E27A50" w:rsidRPr="00E35F91">
        <w:rPr>
          <w:rFonts w:ascii="Segoe UI" w:hAnsi="Segoe UI" w:cs="Segoe UI"/>
          <w:color w:val="auto"/>
          <w:sz w:val="20"/>
        </w:rPr>
        <w:t xml:space="preserve"> the absence of evidence based support </w:t>
      </w:r>
      <w:r w:rsidR="0031264A" w:rsidRPr="00E35F91">
        <w:rPr>
          <w:rFonts w:ascii="Segoe UI" w:hAnsi="Segoe UI" w:cs="Segoe UI"/>
          <w:color w:val="auto"/>
          <w:sz w:val="20"/>
        </w:rPr>
        <w:t xml:space="preserve">to the contrary </w:t>
      </w:r>
      <w:r w:rsidR="00E27A50" w:rsidRPr="00E35F91">
        <w:rPr>
          <w:rFonts w:ascii="Segoe UI" w:hAnsi="Segoe UI" w:cs="Segoe UI"/>
          <w:color w:val="auto"/>
          <w:sz w:val="20"/>
        </w:rPr>
        <w:t xml:space="preserve">DSA sees no reason to increase the $40,000 threshold.   It </w:t>
      </w:r>
      <w:r w:rsidR="0031264A" w:rsidRPr="00E35F91">
        <w:rPr>
          <w:rFonts w:ascii="Segoe UI" w:hAnsi="Segoe UI" w:cs="Segoe UI"/>
          <w:color w:val="auto"/>
          <w:sz w:val="20"/>
        </w:rPr>
        <w:t xml:space="preserve">notes </w:t>
      </w:r>
      <w:r w:rsidR="00B55EF2" w:rsidRPr="00E35F91">
        <w:rPr>
          <w:rFonts w:ascii="Segoe UI" w:hAnsi="Segoe UI" w:cs="Segoe UI"/>
          <w:color w:val="auto"/>
          <w:sz w:val="20"/>
        </w:rPr>
        <w:t xml:space="preserve">this </w:t>
      </w:r>
      <w:r w:rsidR="0031264A" w:rsidRPr="00E35F91">
        <w:rPr>
          <w:rFonts w:ascii="Segoe UI" w:hAnsi="Segoe UI" w:cs="Segoe UI"/>
          <w:color w:val="auto"/>
          <w:sz w:val="20"/>
        </w:rPr>
        <w:t xml:space="preserve">level </w:t>
      </w:r>
      <w:r w:rsidR="00E27A50" w:rsidRPr="00E35F91">
        <w:rPr>
          <w:rFonts w:ascii="Segoe UI" w:hAnsi="Segoe UI" w:cs="Segoe UI"/>
          <w:color w:val="auto"/>
          <w:sz w:val="20"/>
        </w:rPr>
        <w:t>covers practically all goods and services purchased from DSA members.</w:t>
      </w:r>
    </w:p>
    <w:p w:rsidR="00E27A50" w:rsidRPr="00E35F91" w:rsidRDefault="00E27A50" w:rsidP="00DC6360">
      <w:pPr>
        <w:pStyle w:val="TableTextLeft-NumberingAppB"/>
        <w:ind w:left="340" w:hanging="340"/>
        <w:jc w:val="both"/>
        <w:rPr>
          <w:rFonts w:ascii="Segoe UI" w:hAnsi="Segoe UI" w:cs="Segoe UI"/>
          <w:i/>
          <w:color w:val="002060"/>
        </w:rPr>
      </w:pPr>
      <w:r w:rsidRPr="00E35F91">
        <w:rPr>
          <w:rFonts w:ascii="Segoe UI" w:hAnsi="Segoe UI" w:cs="Segoe UI"/>
          <w:i/>
          <w:color w:val="002060"/>
        </w:rPr>
        <w:t>What goods or services would be captured that are not already?</w:t>
      </w:r>
    </w:p>
    <w:p w:rsidR="00E27A50" w:rsidRPr="00E35F91" w:rsidRDefault="00C73F6B"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 xml:space="preserve">The </w:t>
      </w:r>
      <w:r w:rsidR="00E27A50" w:rsidRPr="00E35F91">
        <w:rPr>
          <w:rFonts w:ascii="Segoe UI" w:hAnsi="Segoe UI" w:cs="Segoe UI"/>
          <w:color w:val="auto"/>
          <w:sz w:val="20"/>
        </w:rPr>
        <w:t>exclusion of goods acquired for re-supply should be retained.  Remov</w:t>
      </w:r>
      <w:r w:rsidRPr="00E35F91">
        <w:rPr>
          <w:rFonts w:ascii="Segoe UI" w:hAnsi="Segoe UI" w:cs="Segoe UI"/>
          <w:color w:val="auto"/>
          <w:sz w:val="20"/>
        </w:rPr>
        <w:t>ing</w:t>
      </w:r>
      <w:r w:rsidR="00D71461" w:rsidRPr="00E35F91">
        <w:rPr>
          <w:rFonts w:ascii="Segoe UI" w:hAnsi="Segoe UI" w:cs="Segoe UI"/>
          <w:color w:val="auto"/>
          <w:sz w:val="20"/>
        </w:rPr>
        <w:t xml:space="preserve"> this exemption would unjustly </w:t>
      </w:r>
      <w:r w:rsidR="00E27A50" w:rsidRPr="00E35F91">
        <w:rPr>
          <w:rFonts w:ascii="Segoe UI" w:hAnsi="Segoe UI" w:cs="Segoe UI"/>
          <w:color w:val="auto"/>
          <w:sz w:val="20"/>
        </w:rPr>
        <w:t>impact</w:t>
      </w:r>
      <w:r w:rsidRPr="00E35F91">
        <w:rPr>
          <w:rFonts w:ascii="Segoe UI" w:hAnsi="Segoe UI" w:cs="Segoe UI"/>
          <w:color w:val="auto"/>
          <w:sz w:val="20"/>
        </w:rPr>
        <w:t xml:space="preserve"> commercial arrangements for</w:t>
      </w:r>
      <w:r w:rsidR="00E27A50" w:rsidRPr="00E35F91">
        <w:rPr>
          <w:rFonts w:ascii="Segoe UI" w:hAnsi="Segoe UI" w:cs="Segoe UI"/>
          <w:color w:val="auto"/>
          <w:sz w:val="20"/>
        </w:rPr>
        <w:t xml:space="preserve"> buy-resell</w:t>
      </w:r>
      <w:r w:rsidRPr="00E35F91">
        <w:rPr>
          <w:rFonts w:ascii="Segoe UI" w:hAnsi="Segoe UI" w:cs="Segoe UI"/>
          <w:color w:val="auto"/>
          <w:sz w:val="20"/>
        </w:rPr>
        <w:t xml:space="preserve"> (wholesale)</w:t>
      </w:r>
      <w:r w:rsidR="00E27A50" w:rsidRPr="00E35F91">
        <w:rPr>
          <w:rFonts w:ascii="Segoe UI" w:hAnsi="Segoe UI" w:cs="Segoe UI"/>
          <w:color w:val="auto"/>
          <w:sz w:val="20"/>
        </w:rPr>
        <w:t xml:space="preserve"> models between DSA member</w:t>
      </w:r>
      <w:r w:rsidRPr="00E35F91">
        <w:rPr>
          <w:rFonts w:ascii="Segoe UI" w:hAnsi="Segoe UI" w:cs="Segoe UI"/>
          <w:color w:val="auto"/>
          <w:sz w:val="20"/>
        </w:rPr>
        <w:t>s</w:t>
      </w:r>
      <w:r w:rsidR="00E27A50" w:rsidRPr="00E35F91">
        <w:rPr>
          <w:rFonts w:ascii="Segoe UI" w:hAnsi="Segoe UI" w:cs="Segoe UI"/>
          <w:color w:val="auto"/>
          <w:sz w:val="20"/>
        </w:rPr>
        <w:t xml:space="preserve"> and </w:t>
      </w:r>
      <w:r w:rsidR="00AB006A" w:rsidRPr="00E35F91">
        <w:rPr>
          <w:rFonts w:ascii="Segoe UI" w:hAnsi="Segoe UI" w:cs="Segoe UI"/>
          <w:color w:val="auto"/>
          <w:sz w:val="20"/>
        </w:rPr>
        <w:t xml:space="preserve">their </w:t>
      </w:r>
      <w:r w:rsidR="00E27A50" w:rsidRPr="00E35F91">
        <w:rPr>
          <w:rFonts w:ascii="Segoe UI" w:hAnsi="Segoe UI" w:cs="Segoe UI"/>
          <w:color w:val="auto"/>
          <w:sz w:val="20"/>
        </w:rPr>
        <w:t xml:space="preserve">independent </w:t>
      </w:r>
      <w:r w:rsidR="000A769B" w:rsidRPr="00E35F91">
        <w:rPr>
          <w:rFonts w:ascii="Segoe UI" w:hAnsi="Segoe UI" w:cs="Segoe UI"/>
          <w:color w:val="auto"/>
          <w:sz w:val="20"/>
        </w:rPr>
        <w:t>distributors.</w:t>
      </w:r>
    </w:p>
    <w:p w:rsidR="00E27A50" w:rsidRPr="00E35F91" w:rsidRDefault="00E27A50" w:rsidP="00DC6360">
      <w:pPr>
        <w:tabs>
          <w:tab w:val="left" w:pos="720"/>
        </w:tabs>
        <w:spacing w:before="0" w:after="160" w:line="259" w:lineRule="auto"/>
        <w:jc w:val="both"/>
        <w:rPr>
          <w:rFonts w:ascii="Segoe UI" w:hAnsi="Segoe UI" w:cs="Segoe UI"/>
          <w:b/>
          <w:color w:val="auto"/>
          <w:sz w:val="20"/>
        </w:rPr>
      </w:pPr>
      <w:r w:rsidRPr="00E35F91">
        <w:rPr>
          <w:rFonts w:ascii="Segoe UI" w:hAnsi="Segoe UI" w:cs="Segoe UI"/>
          <w:b/>
          <w:color w:val="auto"/>
          <w:sz w:val="20"/>
        </w:rPr>
        <w:t>1.2.5</w:t>
      </w:r>
      <w:r w:rsidRPr="00E35F91">
        <w:rPr>
          <w:rFonts w:ascii="Segoe UI" w:hAnsi="Segoe UI" w:cs="Segoe UI"/>
          <w:b/>
          <w:color w:val="auto"/>
          <w:sz w:val="20"/>
        </w:rPr>
        <w:tab/>
        <w:t>Exemptions under the ACL</w:t>
      </w:r>
    </w:p>
    <w:p w:rsidR="00E27A50" w:rsidRPr="00E35F91" w:rsidRDefault="00E27A50" w:rsidP="00DC6360">
      <w:pPr>
        <w:pStyle w:val="TableTextLeft-NumberingAppB"/>
        <w:ind w:left="340" w:hanging="340"/>
        <w:jc w:val="both"/>
        <w:rPr>
          <w:rFonts w:ascii="Segoe UI" w:hAnsi="Segoe UI" w:cs="Segoe UI"/>
          <w:i/>
          <w:color w:val="002060"/>
        </w:rPr>
      </w:pPr>
      <w:r w:rsidRPr="00E35F91">
        <w:rPr>
          <w:rFonts w:ascii="Segoe UI" w:hAnsi="Segoe UI" w:cs="Segoe UI"/>
          <w:i/>
          <w:color w:val="002060"/>
        </w:rPr>
        <w:t>Are there other priority exemptions that are not discussed in this chapter that should be considered? If so, what are these and why should they be considered?</w:t>
      </w:r>
    </w:p>
    <w:p w:rsidR="00E27A50" w:rsidRPr="00E35F91" w:rsidRDefault="0098542C"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 xml:space="preserve">Exemptions are </w:t>
      </w:r>
      <w:r w:rsidR="003368D2" w:rsidRPr="00E35F91">
        <w:rPr>
          <w:rFonts w:ascii="Segoe UI" w:hAnsi="Segoe UI" w:cs="Segoe UI"/>
          <w:color w:val="auto"/>
          <w:sz w:val="20"/>
        </w:rPr>
        <w:t>required</w:t>
      </w:r>
      <w:r w:rsidRPr="00E35F91">
        <w:rPr>
          <w:rFonts w:ascii="Segoe UI" w:hAnsi="Segoe UI" w:cs="Segoe UI"/>
          <w:color w:val="auto"/>
          <w:sz w:val="20"/>
        </w:rPr>
        <w:t xml:space="preserve"> to qualify the meaning of “consumer” where an entitlement to</w:t>
      </w:r>
      <w:r w:rsidR="00CD0A70" w:rsidRPr="00E35F91">
        <w:rPr>
          <w:rFonts w:ascii="Segoe UI" w:hAnsi="Segoe UI" w:cs="Segoe UI"/>
          <w:color w:val="auto"/>
          <w:sz w:val="20"/>
        </w:rPr>
        <w:t xml:space="preserve"> consumer protection </w:t>
      </w:r>
      <w:r w:rsidRPr="00E35F91">
        <w:rPr>
          <w:rFonts w:ascii="Segoe UI" w:hAnsi="Segoe UI" w:cs="Segoe UI"/>
          <w:color w:val="auto"/>
          <w:sz w:val="20"/>
        </w:rPr>
        <w:t xml:space="preserve">rights </w:t>
      </w:r>
      <w:r w:rsidR="00CD0A70" w:rsidRPr="00E35F91">
        <w:rPr>
          <w:rFonts w:ascii="Segoe UI" w:hAnsi="Segoe UI" w:cs="Segoe UI"/>
          <w:color w:val="auto"/>
          <w:sz w:val="20"/>
        </w:rPr>
        <w:t>is not</w:t>
      </w:r>
      <w:r w:rsidR="00AB006A" w:rsidRPr="00E35F91">
        <w:rPr>
          <w:rFonts w:ascii="Segoe UI" w:hAnsi="Segoe UI" w:cs="Segoe UI"/>
          <w:color w:val="auto"/>
          <w:sz w:val="20"/>
        </w:rPr>
        <w:t xml:space="preserve"> </w:t>
      </w:r>
      <w:r w:rsidR="00B70D1C" w:rsidRPr="00E35F91">
        <w:rPr>
          <w:rFonts w:ascii="Segoe UI" w:hAnsi="Segoe UI" w:cs="Segoe UI"/>
          <w:color w:val="auto"/>
          <w:sz w:val="20"/>
        </w:rPr>
        <w:t>established</w:t>
      </w:r>
      <w:r w:rsidR="00033695" w:rsidRPr="00E35F91">
        <w:rPr>
          <w:rFonts w:ascii="Segoe UI" w:hAnsi="Segoe UI" w:cs="Segoe UI"/>
          <w:color w:val="auto"/>
          <w:sz w:val="20"/>
        </w:rPr>
        <w:t>.   Some</w:t>
      </w:r>
      <w:r w:rsidR="00AB006A" w:rsidRPr="00E35F91">
        <w:rPr>
          <w:rFonts w:ascii="Segoe UI" w:hAnsi="Segoe UI" w:cs="Segoe UI"/>
          <w:color w:val="auto"/>
          <w:sz w:val="20"/>
        </w:rPr>
        <w:t xml:space="preserve"> current</w:t>
      </w:r>
      <w:r w:rsidRPr="00E35F91">
        <w:rPr>
          <w:rFonts w:ascii="Segoe UI" w:hAnsi="Segoe UI" w:cs="Segoe UI"/>
          <w:color w:val="auto"/>
          <w:sz w:val="20"/>
        </w:rPr>
        <w:t xml:space="preserve"> exemptions</w:t>
      </w:r>
      <w:r w:rsidR="00033695" w:rsidRPr="00E35F91">
        <w:rPr>
          <w:rFonts w:ascii="Segoe UI" w:hAnsi="Segoe UI" w:cs="Segoe UI"/>
          <w:color w:val="auto"/>
          <w:sz w:val="20"/>
        </w:rPr>
        <w:t xml:space="preserve"> are long-standing</w:t>
      </w:r>
      <w:r w:rsidR="00377EA4" w:rsidRPr="00E35F91">
        <w:rPr>
          <w:rFonts w:ascii="Segoe UI" w:hAnsi="Segoe UI" w:cs="Segoe UI"/>
          <w:color w:val="auto"/>
          <w:sz w:val="20"/>
        </w:rPr>
        <w:t xml:space="preserve">, </w:t>
      </w:r>
      <w:r w:rsidR="000A769B" w:rsidRPr="00E35F91">
        <w:rPr>
          <w:rFonts w:ascii="Segoe UI" w:hAnsi="Segoe UI" w:cs="Segoe UI"/>
          <w:color w:val="auto"/>
          <w:sz w:val="20"/>
        </w:rPr>
        <w:t>some</w:t>
      </w:r>
      <w:r w:rsidRPr="00E35F91">
        <w:rPr>
          <w:rFonts w:ascii="Segoe UI" w:hAnsi="Segoe UI" w:cs="Segoe UI"/>
          <w:color w:val="auto"/>
          <w:sz w:val="20"/>
        </w:rPr>
        <w:t xml:space="preserve"> </w:t>
      </w:r>
      <w:r w:rsidR="000A769B" w:rsidRPr="00E35F91">
        <w:rPr>
          <w:rFonts w:ascii="Segoe UI" w:hAnsi="Segoe UI" w:cs="Segoe UI"/>
          <w:color w:val="auto"/>
          <w:sz w:val="20"/>
        </w:rPr>
        <w:t>pre-da</w:t>
      </w:r>
      <w:r w:rsidR="00AB006A" w:rsidRPr="00E35F91">
        <w:rPr>
          <w:rFonts w:ascii="Segoe UI" w:hAnsi="Segoe UI" w:cs="Segoe UI"/>
          <w:color w:val="auto"/>
          <w:sz w:val="20"/>
        </w:rPr>
        <w:t>te</w:t>
      </w:r>
      <w:r w:rsidR="000A769B" w:rsidRPr="00E35F91">
        <w:rPr>
          <w:rFonts w:ascii="Segoe UI" w:hAnsi="Segoe UI" w:cs="Segoe UI"/>
          <w:color w:val="auto"/>
          <w:sz w:val="20"/>
        </w:rPr>
        <w:t xml:space="preserve"> the ACL.</w:t>
      </w:r>
      <w:r w:rsidRPr="00E35F91">
        <w:rPr>
          <w:rFonts w:ascii="Segoe UI" w:hAnsi="Segoe UI" w:cs="Segoe UI"/>
          <w:color w:val="auto"/>
          <w:sz w:val="20"/>
        </w:rPr>
        <w:t xml:space="preserve">   </w:t>
      </w:r>
      <w:r w:rsidR="00B70D1C" w:rsidRPr="00E35F91">
        <w:rPr>
          <w:rFonts w:ascii="Segoe UI" w:hAnsi="Segoe UI" w:cs="Segoe UI"/>
          <w:color w:val="auto"/>
          <w:sz w:val="20"/>
        </w:rPr>
        <w:t xml:space="preserve">A number of additional direct </w:t>
      </w:r>
      <w:r w:rsidRPr="00E35F91">
        <w:rPr>
          <w:rFonts w:ascii="Segoe UI" w:hAnsi="Segoe UI" w:cs="Segoe UI"/>
          <w:color w:val="auto"/>
          <w:sz w:val="20"/>
        </w:rPr>
        <w:t>selling exemptions coincided with the introduction of the ACL’s unsolicited selling provisions</w:t>
      </w:r>
      <w:r w:rsidR="003368D2" w:rsidRPr="00E35F91">
        <w:rPr>
          <w:rFonts w:ascii="Segoe UI" w:hAnsi="Segoe UI" w:cs="Segoe UI"/>
          <w:color w:val="auto"/>
          <w:sz w:val="20"/>
        </w:rPr>
        <w:t xml:space="preserve"> and </w:t>
      </w:r>
      <w:r w:rsidR="00B70D1C" w:rsidRPr="00E35F91">
        <w:rPr>
          <w:rFonts w:ascii="Segoe UI" w:hAnsi="Segoe UI" w:cs="Segoe UI"/>
          <w:color w:val="auto"/>
          <w:sz w:val="20"/>
        </w:rPr>
        <w:t xml:space="preserve">an </w:t>
      </w:r>
      <w:r w:rsidR="003368D2" w:rsidRPr="00E35F91">
        <w:rPr>
          <w:rFonts w:ascii="Segoe UI" w:hAnsi="Segoe UI" w:cs="Segoe UI"/>
          <w:color w:val="auto"/>
          <w:sz w:val="20"/>
        </w:rPr>
        <w:t>acceptance of circumstances in which they should not apply</w:t>
      </w:r>
      <w:r w:rsidRPr="00E35F91">
        <w:rPr>
          <w:rFonts w:ascii="Segoe UI" w:hAnsi="Segoe UI" w:cs="Segoe UI"/>
          <w:color w:val="auto"/>
          <w:sz w:val="20"/>
        </w:rPr>
        <w:t>.</w:t>
      </w:r>
      <w:r w:rsidR="003368D2" w:rsidRPr="00E35F91">
        <w:rPr>
          <w:rFonts w:ascii="Segoe UI" w:hAnsi="Segoe UI" w:cs="Segoe UI"/>
          <w:color w:val="auto"/>
          <w:sz w:val="20"/>
        </w:rPr>
        <w:t xml:space="preserve">   That is</w:t>
      </w:r>
      <w:r w:rsidR="00CD0A70" w:rsidRPr="00E35F91">
        <w:rPr>
          <w:rFonts w:ascii="Segoe UI" w:hAnsi="Segoe UI" w:cs="Segoe UI"/>
          <w:color w:val="auto"/>
          <w:sz w:val="20"/>
        </w:rPr>
        <w:t xml:space="preserve">, </w:t>
      </w:r>
      <w:r w:rsidR="00B70D1C" w:rsidRPr="00E35F91">
        <w:rPr>
          <w:rFonts w:ascii="Segoe UI" w:hAnsi="Segoe UI" w:cs="Segoe UI"/>
          <w:color w:val="auto"/>
          <w:sz w:val="20"/>
        </w:rPr>
        <w:t>circumstances when</w:t>
      </w:r>
      <w:r w:rsidR="00CD0A70" w:rsidRPr="00E35F91">
        <w:rPr>
          <w:rFonts w:ascii="Segoe UI" w:hAnsi="Segoe UI" w:cs="Segoe UI"/>
          <w:color w:val="auto"/>
          <w:sz w:val="20"/>
        </w:rPr>
        <w:t xml:space="preserve"> </w:t>
      </w:r>
      <w:r w:rsidR="003368D2" w:rsidRPr="00E35F91">
        <w:rPr>
          <w:rFonts w:ascii="Segoe UI" w:hAnsi="Segoe UI" w:cs="Segoe UI"/>
          <w:color w:val="auto"/>
          <w:sz w:val="20"/>
        </w:rPr>
        <w:t xml:space="preserve">consumers are not vulnerable to high pressure selling tactics, nor information asymmetry.   </w:t>
      </w:r>
      <w:r w:rsidRPr="00E35F91">
        <w:rPr>
          <w:rFonts w:ascii="Segoe UI" w:hAnsi="Segoe UI" w:cs="Segoe UI"/>
          <w:color w:val="auto"/>
          <w:sz w:val="20"/>
        </w:rPr>
        <w:t xml:space="preserve">DSA </w:t>
      </w:r>
      <w:r w:rsidR="00B70D1C" w:rsidRPr="00E35F91">
        <w:rPr>
          <w:rFonts w:ascii="Segoe UI" w:hAnsi="Segoe UI" w:cs="Segoe UI"/>
          <w:color w:val="auto"/>
          <w:sz w:val="20"/>
        </w:rPr>
        <w:t>does not support</w:t>
      </w:r>
      <w:r w:rsidRPr="00E35F91">
        <w:rPr>
          <w:rFonts w:ascii="Segoe UI" w:hAnsi="Segoe UI" w:cs="Segoe UI"/>
          <w:color w:val="auto"/>
          <w:sz w:val="20"/>
        </w:rPr>
        <w:t xml:space="preserve"> any changes to current exemptions and</w:t>
      </w:r>
      <w:r w:rsidR="003368D2" w:rsidRPr="00E35F91">
        <w:rPr>
          <w:rFonts w:ascii="Segoe UI" w:hAnsi="Segoe UI" w:cs="Segoe UI"/>
          <w:color w:val="auto"/>
          <w:sz w:val="20"/>
        </w:rPr>
        <w:t xml:space="preserve"> in the absence of a </w:t>
      </w:r>
      <w:r w:rsidR="00B55EF2" w:rsidRPr="00E35F91">
        <w:rPr>
          <w:rFonts w:ascii="Segoe UI" w:hAnsi="Segoe UI" w:cs="Segoe UI"/>
          <w:color w:val="auto"/>
          <w:sz w:val="20"/>
        </w:rPr>
        <w:t>principle-based</w:t>
      </w:r>
      <w:r w:rsidR="003368D2" w:rsidRPr="00E35F91">
        <w:rPr>
          <w:rFonts w:ascii="Segoe UI" w:hAnsi="Segoe UI" w:cs="Segoe UI"/>
          <w:color w:val="auto"/>
          <w:sz w:val="20"/>
        </w:rPr>
        <w:t xml:space="preserve"> approach for a more appropriate regulatory policy setting argues exemptions </w:t>
      </w:r>
      <w:r w:rsidR="00B70D1C" w:rsidRPr="00E35F91">
        <w:rPr>
          <w:rFonts w:ascii="Segoe UI" w:hAnsi="Segoe UI" w:cs="Segoe UI"/>
          <w:color w:val="auto"/>
          <w:sz w:val="20"/>
        </w:rPr>
        <w:t>must</w:t>
      </w:r>
      <w:r w:rsidR="003368D2" w:rsidRPr="00E35F91">
        <w:rPr>
          <w:rFonts w:ascii="Segoe UI" w:hAnsi="Segoe UI" w:cs="Segoe UI"/>
          <w:color w:val="auto"/>
          <w:sz w:val="20"/>
        </w:rPr>
        <w:t xml:space="preserve"> be increased.</w:t>
      </w:r>
      <w:r w:rsidR="00CD0A70" w:rsidRPr="00E35F91">
        <w:rPr>
          <w:rFonts w:ascii="Segoe UI" w:hAnsi="Segoe UI" w:cs="Segoe UI"/>
          <w:color w:val="auto"/>
          <w:sz w:val="20"/>
        </w:rPr>
        <w:t xml:space="preserve">   A comprehensive “public interest” review of all exemptions under the ACL is unwarranted.</w:t>
      </w:r>
    </w:p>
    <w:p w:rsidR="0098542C" w:rsidRPr="00E35F91" w:rsidRDefault="0098542C" w:rsidP="00DC6360">
      <w:pPr>
        <w:tabs>
          <w:tab w:val="left" w:pos="720"/>
        </w:tabs>
        <w:spacing w:before="0" w:after="160" w:line="259" w:lineRule="auto"/>
        <w:jc w:val="both"/>
        <w:rPr>
          <w:rFonts w:ascii="Segoe UI" w:hAnsi="Segoe UI" w:cs="Segoe UI"/>
          <w:b/>
          <w:color w:val="auto"/>
          <w:sz w:val="20"/>
        </w:rPr>
      </w:pPr>
      <w:r w:rsidRPr="00E35F91">
        <w:rPr>
          <w:rFonts w:ascii="Segoe UI" w:hAnsi="Segoe UI" w:cs="Segoe UI"/>
          <w:b/>
          <w:color w:val="auto"/>
          <w:sz w:val="20"/>
        </w:rPr>
        <w:t>1.2.6</w:t>
      </w:r>
      <w:r w:rsidRPr="00E35F91">
        <w:rPr>
          <w:rFonts w:ascii="Segoe UI" w:hAnsi="Segoe UI" w:cs="Segoe UI"/>
          <w:b/>
          <w:color w:val="auto"/>
          <w:sz w:val="20"/>
        </w:rPr>
        <w:tab/>
        <w:t>Interaction between the ACL and ASIC Act</w:t>
      </w:r>
    </w:p>
    <w:p w:rsidR="0098542C" w:rsidRPr="00E35F91" w:rsidRDefault="0098542C" w:rsidP="00DC6360">
      <w:pPr>
        <w:pStyle w:val="TableTextLeft-NumberingAppB"/>
        <w:ind w:left="340" w:hanging="340"/>
        <w:jc w:val="both"/>
        <w:rPr>
          <w:rFonts w:ascii="Segoe UI" w:hAnsi="Segoe UI" w:cs="Segoe UI"/>
          <w:i/>
          <w:color w:val="002060"/>
        </w:rPr>
      </w:pPr>
      <w:r w:rsidRPr="00E35F91">
        <w:rPr>
          <w:rFonts w:ascii="Segoe UI" w:hAnsi="Segoe UI" w:cs="Segoe UI"/>
          <w:i/>
          <w:color w:val="002060"/>
        </w:rPr>
        <w:t>Should the ASIC Act be amended to explicitly apply its consumer protections to financial products?</w:t>
      </w:r>
    </w:p>
    <w:p w:rsidR="0098542C" w:rsidRPr="00E35F91" w:rsidRDefault="0098542C"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lastRenderedPageBreak/>
        <w:t xml:space="preserve">If the ASIC Act is </w:t>
      </w:r>
      <w:r w:rsidR="000A769B" w:rsidRPr="00E35F91">
        <w:rPr>
          <w:rFonts w:ascii="Segoe UI" w:hAnsi="Segoe UI" w:cs="Segoe UI"/>
          <w:color w:val="auto"/>
          <w:sz w:val="20"/>
        </w:rPr>
        <w:t>amended</w:t>
      </w:r>
      <w:r w:rsidRPr="00E35F91">
        <w:rPr>
          <w:rFonts w:ascii="Segoe UI" w:hAnsi="Segoe UI" w:cs="Segoe UI"/>
          <w:color w:val="auto"/>
          <w:sz w:val="20"/>
        </w:rPr>
        <w:t xml:space="preserve"> to explicitly apply consumer protections to financial products, there </w:t>
      </w:r>
      <w:r w:rsidR="000A769B" w:rsidRPr="00E35F91">
        <w:rPr>
          <w:rFonts w:ascii="Segoe UI" w:hAnsi="Segoe UI" w:cs="Segoe UI"/>
          <w:color w:val="auto"/>
          <w:sz w:val="20"/>
        </w:rPr>
        <w:t>is the</w:t>
      </w:r>
      <w:r w:rsidRPr="00E35F91">
        <w:rPr>
          <w:rFonts w:ascii="Segoe UI" w:hAnsi="Segoe UI" w:cs="Segoe UI"/>
          <w:color w:val="auto"/>
          <w:sz w:val="20"/>
        </w:rPr>
        <w:t xml:space="preserve"> need to ensure consistency between key ACL consumer protections</w:t>
      </w:r>
      <w:r w:rsidR="000A769B" w:rsidRPr="00E35F91">
        <w:rPr>
          <w:rFonts w:ascii="Segoe UI" w:hAnsi="Segoe UI" w:cs="Segoe UI"/>
          <w:color w:val="auto"/>
          <w:sz w:val="20"/>
        </w:rPr>
        <w:t>,</w:t>
      </w:r>
      <w:r w:rsidRPr="00E35F91">
        <w:rPr>
          <w:rFonts w:ascii="Segoe UI" w:hAnsi="Segoe UI" w:cs="Segoe UI"/>
          <w:color w:val="auto"/>
          <w:sz w:val="20"/>
        </w:rPr>
        <w:t xml:space="preserve"> the ASIC Act and related financial products and services legislation, including in the National Consumer Credit Protection Act 2009 and Regulations 2010.   For example</w:t>
      </w:r>
      <w:r w:rsidR="003368D2" w:rsidRPr="00E35F91">
        <w:rPr>
          <w:rFonts w:ascii="Segoe UI" w:hAnsi="Segoe UI" w:cs="Segoe UI"/>
          <w:color w:val="auto"/>
          <w:sz w:val="20"/>
        </w:rPr>
        <w:t>,</w:t>
      </w:r>
      <w:r w:rsidR="00CD0A70" w:rsidRPr="00E35F91">
        <w:rPr>
          <w:rFonts w:ascii="Segoe UI" w:hAnsi="Segoe UI" w:cs="Segoe UI"/>
          <w:color w:val="auto"/>
          <w:sz w:val="20"/>
        </w:rPr>
        <w:t xml:space="preserve"> the r</w:t>
      </w:r>
      <w:r w:rsidR="003368D2" w:rsidRPr="00E35F91">
        <w:rPr>
          <w:rFonts w:ascii="Segoe UI" w:hAnsi="Segoe UI" w:cs="Segoe UI"/>
          <w:color w:val="auto"/>
          <w:sz w:val="20"/>
        </w:rPr>
        <w:t>egulations</w:t>
      </w:r>
      <w:r w:rsidRPr="00E35F91">
        <w:rPr>
          <w:rFonts w:ascii="Segoe UI" w:hAnsi="Segoe UI" w:cs="Segoe UI"/>
          <w:color w:val="auto"/>
          <w:sz w:val="20"/>
        </w:rPr>
        <w:t xml:space="preserve"> </w:t>
      </w:r>
      <w:r w:rsidR="003368D2" w:rsidRPr="00E35F91">
        <w:rPr>
          <w:rFonts w:ascii="Segoe UI" w:hAnsi="Segoe UI" w:cs="Segoe UI"/>
          <w:color w:val="auto"/>
          <w:sz w:val="20"/>
        </w:rPr>
        <w:t>define</w:t>
      </w:r>
      <w:r w:rsidRPr="00E35F91">
        <w:rPr>
          <w:rFonts w:ascii="Segoe UI" w:hAnsi="Segoe UI" w:cs="Segoe UI"/>
          <w:color w:val="auto"/>
          <w:sz w:val="20"/>
        </w:rPr>
        <w:t xml:space="preserve"> “unsolicited contact” </w:t>
      </w:r>
      <w:r w:rsidR="003368D2" w:rsidRPr="00E35F91">
        <w:rPr>
          <w:rFonts w:ascii="Segoe UI" w:hAnsi="Segoe UI" w:cs="Segoe UI"/>
          <w:color w:val="auto"/>
          <w:sz w:val="20"/>
        </w:rPr>
        <w:t>differently to the ACL for exemption purposes</w:t>
      </w:r>
      <w:r w:rsidR="00B70D1C" w:rsidRPr="00E35F91">
        <w:rPr>
          <w:rFonts w:ascii="Segoe UI" w:hAnsi="Segoe UI" w:cs="Segoe UI"/>
          <w:color w:val="auto"/>
          <w:sz w:val="20"/>
        </w:rPr>
        <w:t xml:space="preserve">.   </w:t>
      </w:r>
      <w:r w:rsidRPr="00E35F91">
        <w:rPr>
          <w:rFonts w:ascii="Segoe UI" w:hAnsi="Segoe UI" w:cs="Segoe UI"/>
          <w:color w:val="auto"/>
          <w:sz w:val="20"/>
        </w:rPr>
        <w:t>These issues are relevant to DSA members who may offer goods for sale in conjunction with</w:t>
      </w:r>
      <w:r w:rsidR="00CD0A70" w:rsidRPr="00E35F91">
        <w:rPr>
          <w:rFonts w:ascii="Segoe UI" w:hAnsi="Segoe UI" w:cs="Segoe UI"/>
          <w:color w:val="auto"/>
          <w:sz w:val="20"/>
        </w:rPr>
        <w:t xml:space="preserve"> consumer credit offered by</w:t>
      </w:r>
      <w:r w:rsidRPr="00E35F91">
        <w:rPr>
          <w:rFonts w:ascii="Segoe UI" w:hAnsi="Segoe UI" w:cs="Segoe UI"/>
          <w:color w:val="auto"/>
          <w:sz w:val="20"/>
        </w:rPr>
        <w:t xml:space="preserve"> third party licensed credit providers.</w:t>
      </w:r>
    </w:p>
    <w:p w:rsidR="0098542C" w:rsidRPr="00E35F91" w:rsidRDefault="0098542C"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 xml:space="preserve">The interaction between this legislation </w:t>
      </w:r>
      <w:r w:rsidR="000A769B" w:rsidRPr="00E35F91">
        <w:rPr>
          <w:rFonts w:ascii="Segoe UI" w:hAnsi="Segoe UI" w:cs="Segoe UI"/>
          <w:color w:val="auto"/>
          <w:sz w:val="20"/>
        </w:rPr>
        <w:t>also raises</w:t>
      </w:r>
      <w:r w:rsidRPr="00E35F91">
        <w:rPr>
          <w:rFonts w:ascii="Segoe UI" w:hAnsi="Segoe UI" w:cs="Segoe UI"/>
          <w:color w:val="auto"/>
          <w:sz w:val="20"/>
        </w:rPr>
        <w:t xml:space="preserve"> structural and policy issues.   Th</w:t>
      </w:r>
      <w:r w:rsidR="00916346" w:rsidRPr="00E35F91">
        <w:rPr>
          <w:rFonts w:ascii="Segoe UI" w:hAnsi="Segoe UI" w:cs="Segoe UI"/>
          <w:color w:val="auto"/>
          <w:sz w:val="20"/>
        </w:rPr>
        <w:t>ey were raised in a</w:t>
      </w:r>
      <w:r w:rsidRPr="00E35F91">
        <w:rPr>
          <w:rFonts w:ascii="Segoe UI" w:hAnsi="Segoe UI" w:cs="Segoe UI"/>
          <w:color w:val="auto"/>
          <w:sz w:val="20"/>
        </w:rPr>
        <w:t xml:space="preserve"> submission to a Parliamentary Committee</w:t>
      </w:r>
      <w:r w:rsidR="008A3FE4" w:rsidRPr="00E35F91">
        <w:rPr>
          <w:rStyle w:val="FootnoteReference"/>
          <w:rFonts w:ascii="Segoe UI" w:hAnsi="Segoe UI" w:cs="Segoe UI"/>
          <w:color w:val="auto"/>
          <w:sz w:val="20"/>
        </w:rPr>
        <w:footnoteReference w:id="2"/>
      </w:r>
      <w:r w:rsidRPr="00E35F91">
        <w:rPr>
          <w:rFonts w:ascii="Segoe UI" w:hAnsi="Segoe UI" w:cs="Segoe UI"/>
          <w:color w:val="auto"/>
          <w:sz w:val="20"/>
        </w:rPr>
        <w:t xml:space="preserve"> concerning proposed enhancements to the National Credit Code.</w:t>
      </w:r>
      <w:r w:rsidR="008B6D18" w:rsidRPr="00E35F91">
        <w:rPr>
          <w:rFonts w:ascii="Segoe UI" w:hAnsi="Segoe UI" w:cs="Segoe UI"/>
          <w:color w:val="auto"/>
          <w:sz w:val="20"/>
        </w:rPr>
        <w:t xml:space="preserve">   One “</w:t>
      </w:r>
      <w:r w:rsidR="007C672B" w:rsidRPr="00E35F91">
        <w:rPr>
          <w:rFonts w:ascii="Segoe UI" w:hAnsi="Segoe UI" w:cs="Segoe UI"/>
          <w:color w:val="auto"/>
          <w:sz w:val="20"/>
        </w:rPr>
        <w:t>enhancement” was d</w:t>
      </w:r>
      <w:r w:rsidR="00483CC2" w:rsidRPr="00E35F91">
        <w:rPr>
          <w:rFonts w:ascii="Segoe UI" w:hAnsi="Segoe UI" w:cs="Segoe UI"/>
          <w:color w:val="auto"/>
          <w:sz w:val="20"/>
        </w:rPr>
        <w:t xml:space="preserve">esigned to </w:t>
      </w:r>
      <w:r w:rsidR="006D6CAB" w:rsidRPr="00E35F91">
        <w:rPr>
          <w:rFonts w:ascii="Segoe UI" w:hAnsi="Segoe UI" w:cs="Segoe UI"/>
          <w:color w:val="auto"/>
          <w:sz w:val="20"/>
        </w:rPr>
        <w:t>stop</w:t>
      </w:r>
      <w:r w:rsidR="00483CC2" w:rsidRPr="00E35F91">
        <w:rPr>
          <w:rFonts w:ascii="Segoe UI" w:hAnsi="Segoe UI" w:cs="Segoe UI"/>
          <w:color w:val="auto"/>
          <w:sz w:val="20"/>
        </w:rPr>
        <w:t xml:space="preserve"> credit-</w:t>
      </w:r>
      <w:r w:rsidRPr="00E35F91">
        <w:rPr>
          <w:rFonts w:ascii="Segoe UI" w:hAnsi="Segoe UI" w:cs="Segoe UI"/>
          <w:color w:val="auto"/>
          <w:sz w:val="20"/>
        </w:rPr>
        <w:t xml:space="preserve">dependent unsolicited selling, </w:t>
      </w:r>
      <w:r w:rsidR="00483CC2" w:rsidRPr="00E35F91">
        <w:rPr>
          <w:rFonts w:ascii="Segoe UI" w:hAnsi="Segoe UI" w:cs="Segoe UI"/>
          <w:color w:val="auto"/>
          <w:sz w:val="20"/>
        </w:rPr>
        <w:t>the then</w:t>
      </w:r>
      <w:r w:rsidRPr="00E35F91">
        <w:rPr>
          <w:rFonts w:ascii="Segoe UI" w:hAnsi="Segoe UI" w:cs="Segoe UI"/>
          <w:color w:val="auto"/>
          <w:sz w:val="20"/>
        </w:rPr>
        <w:t xml:space="preserve"> Commonwealth government </w:t>
      </w:r>
      <w:r w:rsidR="00483CC2" w:rsidRPr="00E35F91">
        <w:rPr>
          <w:rFonts w:ascii="Segoe UI" w:hAnsi="Segoe UI" w:cs="Segoe UI"/>
          <w:color w:val="auto"/>
          <w:sz w:val="20"/>
        </w:rPr>
        <w:t>attempting to use</w:t>
      </w:r>
      <w:r w:rsidRPr="00E35F91">
        <w:rPr>
          <w:rFonts w:ascii="Segoe UI" w:hAnsi="Segoe UI" w:cs="Segoe UI"/>
          <w:color w:val="auto"/>
          <w:sz w:val="20"/>
        </w:rPr>
        <w:t xml:space="preserve"> its power over credit </w:t>
      </w:r>
      <w:r w:rsidR="00483CC2" w:rsidRPr="00E35F91">
        <w:rPr>
          <w:rFonts w:ascii="Segoe UI" w:hAnsi="Segoe UI" w:cs="Segoe UI"/>
          <w:color w:val="auto"/>
          <w:sz w:val="20"/>
        </w:rPr>
        <w:t>providers</w:t>
      </w:r>
      <w:r w:rsidRPr="00E35F91">
        <w:rPr>
          <w:rFonts w:ascii="Segoe UI" w:hAnsi="Segoe UI" w:cs="Segoe UI"/>
          <w:color w:val="auto"/>
          <w:sz w:val="20"/>
        </w:rPr>
        <w:t xml:space="preserve"> to </w:t>
      </w:r>
      <w:r w:rsidR="006D6CAB" w:rsidRPr="00E35F91">
        <w:rPr>
          <w:rFonts w:ascii="Segoe UI" w:hAnsi="Segoe UI" w:cs="Segoe UI"/>
          <w:color w:val="auto"/>
          <w:sz w:val="20"/>
        </w:rPr>
        <w:t>effectively ban</w:t>
      </w:r>
      <w:r w:rsidRPr="00E35F91">
        <w:rPr>
          <w:rFonts w:ascii="Segoe UI" w:hAnsi="Segoe UI" w:cs="Segoe UI"/>
          <w:color w:val="auto"/>
          <w:sz w:val="20"/>
        </w:rPr>
        <w:t xml:space="preserve"> a </w:t>
      </w:r>
      <w:r w:rsidR="00916346" w:rsidRPr="00E35F91">
        <w:rPr>
          <w:rFonts w:ascii="Segoe UI" w:hAnsi="Segoe UI" w:cs="Segoe UI"/>
          <w:color w:val="auto"/>
          <w:sz w:val="20"/>
        </w:rPr>
        <w:t xml:space="preserve">sales </w:t>
      </w:r>
      <w:r w:rsidRPr="00E35F91">
        <w:rPr>
          <w:rFonts w:ascii="Segoe UI" w:hAnsi="Segoe UI" w:cs="Segoe UI"/>
          <w:color w:val="auto"/>
          <w:sz w:val="20"/>
        </w:rPr>
        <w:t>practice</w:t>
      </w:r>
      <w:r w:rsidR="00916346" w:rsidRPr="00E35F91">
        <w:rPr>
          <w:rFonts w:ascii="Segoe UI" w:hAnsi="Segoe UI" w:cs="Segoe UI"/>
          <w:color w:val="auto"/>
          <w:sz w:val="20"/>
        </w:rPr>
        <w:t xml:space="preserve"> sanctioned by all governments (including the Commonwealth) </w:t>
      </w:r>
      <w:r w:rsidR="006D6CAB" w:rsidRPr="00E35F91">
        <w:rPr>
          <w:rFonts w:ascii="Segoe UI" w:hAnsi="Segoe UI" w:cs="Segoe UI"/>
          <w:color w:val="auto"/>
          <w:sz w:val="20"/>
        </w:rPr>
        <w:t>in</w:t>
      </w:r>
      <w:r w:rsidR="00916346" w:rsidRPr="00E35F91">
        <w:rPr>
          <w:rFonts w:ascii="Segoe UI" w:hAnsi="Segoe UI" w:cs="Segoe UI"/>
          <w:color w:val="auto"/>
          <w:sz w:val="20"/>
        </w:rPr>
        <w:t xml:space="preserve"> the ACL.   </w:t>
      </w:r>
      <w:r w:rsidR="007C672B" w:rsidRPr="00E35F91">
        <w:rPr>
          <w:rFonts w:ascii="Segoe UI" w:hAnsi="Segoe UI" w:cs="Segoe UI"/>
          <w:color w:val="auto"/>
          <w:sz w:val="20"/>
        </w:rPr>
        <w:t xml:space="preserve">DSA </w:t>
      </w:r>
      <w:r w:rsidR="00916346" w:rsidRPr="00E35F91">
        <w:rPr>
          <w:rFonts w:ascii="Segoe UI" w:hAnsi="Segoe UI" w:cs="Segoe UI"/>
          <w:color w:val="auto"/>
          <w:sz w:val="20"/>
        </w:rPr>
        <w:t>notes</w:t>
      </w:r>
      <w:r w:rsidR="007C672B" w:rsidRPr="00E35F91">
        <w:rPr>
          <w:rFonts w:ascii="Segoe UI" w:hAnsi="Segoe UI" w:cs="Segoe UI"/>
          <w:color w:val="auto"/>
          <w:sz w:val="20"/>
        </w:rPr>
        <w:t xml:space="preserve"> s</w:t>
      </w:r>
      <w:r w:rsidRPr="00E35F91">
        <w:rPr>
          <w:rFonts w:ascii="Segoe UI" w:hAnsi="Segoe UI" w:cs="Segoe UI"/>
          <w:color w:val="auto"/>
          <w:sz w:val="20"/>
        </w:rPr>
        <w:t xml:space="preserve">imilar issues </w:t>
      </w:r>
      <w:r w:rsidR="008A3FE4" w:rsidRPr="00E35F91">
        <w:rPr>
          <w:rFonts w:ascii="Segoe UI" w:hAnsi="Segoe UI" w:cs="Segoe UI"/>
          <w:color w:val="auto"/>
          <w:sz w:val="20"/>
        </w:rPr>
        <w:t>for consideration of</w:t>
      </w:r>
      <w:r w:rsidRPr="00E35F91">
        <w:rPr>
          <w:rFonts w:ascii="Segoe UI" w:hAnsi="Segoe UI" w:cs="Segoe UI"/>
          <w:color w:val="auto"/>
          <w:sz w:val="20"/>
        </w:rPr>
        <w:t xml:space="preserve"> recommendations from the</w:t>
      </w:r>
      <w:r w:rsidR="00916346" w:rsidRPr="00E35F91">
        <w:rPr>
          <w:rFonts w:ascii="Segoe UI" w:hAnsi="Segoe UI" w:cs="Segoe UI"/>
          <w:color w:val="auto"/>
          <w:sz w:val="20"/>
        </w:rPr>
        <w:t xml:space="preserve"> recent</w:t>
      </w:r>
      <w:r w:rsidRPr="00E35F91">
        <w:rPr>
          <w:rFonts w:ascii="Segoe UI" w:hAnsi="Segoe UI" w:cs="Segoe UI"/>
          <w:color w:val="auto"/>
          <w:sz w:val="20"/>
        </w:rPr>
        <w:t xml:space="preserve"> review of small amount credit contract laws.</w:t>
      </w:r>
      <w:r w:rsidR="008A3FE4" w:rsidRPr="00E35F91">
        <w:rPr>
          <w:rStyle w:val="FootnoteReference"/>
          <w:rFonts w:ascii="Segoe UI" w:hAnsi="Segoe UI" w:cs="Segoe UI"/>
          <w:color w:val="auto"/>
          <w:sz w:val="20"/>
        </w:rPr>
        <w:footnoteReference w:id="3"/>
      </w:r>
    </w:p>
    <w:p w:rsidR="0098542C" w:rsidRPr="00E35F91" w:rsidRDefault="0098542C" w:rsidP="00DC6360">
      <w:pPr>
        <w:tabs>
          <w:tab w:val="left" w:pos="540"/>
        </w:tabs>
        <w:spacing w:before="0" w:after="160" w:line="259" w:lineRule="auto"/>
        <w:jc w:val="both"/>
        <w:rPr>
          <w:rFonts w:ascii="Segoe UI" w:hAnsi="Segoe UI" w:cs="Segoe UI"/>
          <w:b/>
          <w:color w:val="auto"/>
          <w:sz w:val="20"/>
        </w:rPr>
      </w:pPr>
      <w:r w:rsidRPr="00E35F91">
        <w:rPr>
          <w:rFonts w:ascii="Segoe UI" w:hAnsi="Segoe UI" w:cs="Segoe UI"/>
          <w:b/>
          <w:color w:val="auto"/>
          <w:sz w:val="20"/>
        </w:rPr>
        <w:t>2.1</w:t>
      </w:r>
      <w:r w:rsidRPr="00E35F91">
        <w:rPr>
          <w:rFonts w:ascii="Segoe UI" w:hAnsi="Segoe UI" w:cs="Segoe UI"/>
          <w:b/>
          <w:color w:val="auto"/>
          <w:sz w:val="20"/>
        </w:rPr>
        <w:tab/>
        <w:t>Consumer guarantees</w:t>
      </w:r>
    </w:p>
    <w:p w:rsidR="0098542C" w:rsidRPr="00E35F91" w:rsidRDefault="0098542C" w:rsidP="00DC6360">
      <w:pPr>
        <w:tabs>
          <w:tab w:val="left" w:pos="720"/>
        </w:tabs>
        <w:spacing w:before="0" w:after="160" w:line="259" w:lineRule="auto"/>
        <w:jc w:val="both"/>
        <w:rPr>
          <w:rFonts w:ascii="Segoe UI" w:hAnsi="Segoe UI" w:cs="Segoe UI"/>
          <w:b/>
          <w:color w:val="auto"/>
          <w:sz w:val="20"/>
        </w:rPr>
      </w:pPr>
      <w:r w:rsidRPr="00E35F91">
        <w:rPr>
          <w:rFonts w:ascii="Segoe UI" w:hAnsi="Segoe UI" w:cs="Segoe UI"/>
          <w:b/>
          <w:color w:val="auto"/>
          <w:sz w:val="20"/>
        </w:rPr>
        <w:t>2.1.2</w:t>
      </w:r>
      <w:r w:rsidRPr="00E35F91">
        <w:rPr>
          <w:rFonts w:ascii="Segoe UI" w:hAnsi="Segoe UI" w:cs="Segoe UI"/>
          <w:b/>
          <w:color w:val="auto"/>
          <w:sz w:val="20"/>
        </w:rPr>
        <w:tab/>
        <w:t>‘Acceptable quality’ for goods</w:t>
      </w:r>
    </w:p>
    <w:p w:rsidR="0098542C" w:rsidRPr="00E35F91" w:rsidRDefault="0098542C" w:rsidP="00DC6360">
      <w:pPr>
        <w:pStyle w:val="TableTextLeft-NumberingAppB"/>
        <w:numPr>
          <w:ilvl w:val="0"/>
          <w:numId w:val="0"/>
        </w:numPr>
        <w:tabs>
          <w:tab w:val="clear" w:pos="340"/>
          <w:tab w:val="left" w:pos="450"/>
        </w:tabs>
        <w:ind w:left="360" w:hanging="360"/>
        <w:jc w:val="both"/>
        <w:rPr>
          <w:rFonts w:ascii="Segoe UI" w:hAnsi="Segoe UI" w:cs="Segoe UI"/>
          <w:color w:val="002060"/>
        </w:rPr>
      </w:pPr>
      <w:r w:rsidRPr="00E35F91">
        <w:rPr>
          <w:rFonts w:ascii="Segoe UI" w:hAnsi="Segoe UI" w:cs="Segoe UI"/>
          <w:i/>
          <w:color w:val="002060"/>
        </w:rPr>
        <w:t>10.</w:t>
      </w:r>
      <w:r w:rsidRPr="00E35F91">
        <w:rPr>
          <w:rFonts w:ascii="Segoe UI" w:hAnsi="Segoe UI" w:cs="Segoe UI"/>
          <w:i/>
          <w:color w:val="002060"/>
        </w:rPr>
        <w:tab/>
        <w:t>Could the issues about the durability of goods be addressed though further guidance and information?</w:t>
      </w:r>
    </w:p>
    <w:p w:rsidR="0098542C" w:rsidRPr="00E35F91" w:rsidRDefault="00664A5D" w:rsidP="00DC6360">
      <w:pPr>
        <w:jc w:val="both"/>
        <w:rPr>
          <w:rFonts w:ascii="Segoe UI" w:hAnsi="Segoe UI" w:cs="Segoe UI"/>
          <w:color w:val="auto"/>
          <w:sz w:val="20"/>
        </w:rPr>
      </w:pPr>
      <w:r w:rsidRPr="00E35F91">
        <w:rPr>
          <w:rFonts w:ascii="Segoe UI" w:hAnsi="Segoe UI" w:cs="Segoe UI"/>
          <w:color w:val="auto"/>
          <w:sz w:val="20"/>
        </w:rPr>
        <w:t>The durability test needs to</w:t>
      </w:r>
      <w:r w:rsidR="0098542C" w:rsidRPr="00E35F91">
        <w:rPr>
          <w:rFonts w:ascii="Segoe UI" w:hAnsi="Segoe UI" w:cs="Segoe UI"/>
          <w:color w:val="auto"/>
          <w:sz w:val="20"/>
        </w:rPr>
        <w:t xml:space="preserve"> remain flexible, </w:t>
      </w:r>
      <w:r w:rsidR="00B55EF2" w:rsidRPr="00E35F91">
        <w:rPr>
          <w:rFonts w:ascii="Segoe UI" w:hAnsi="Segoe UI" w:cs="Segoe UI"/>
          <w:color w:val="auto"/>
          <w:sz w:val="20"/>
        </w:rPr>
        <w:t>principle-based</w:t>
      </w:r>
      <w:r w:rsidR="0098542C" w:rsidRPr="00E35F91">
        <w:rPr>
          <w:rFonts w:ascii="Segoe UI" w:hAnsi="Segoe UI" w:cs="Segoe UI"/>
          <w:color w:val="auto"/>
          <w:sz w:val="20"/>
        </w:rPr>
        <w:t xml:space="preserve">, and designed to account for </w:t>
      </w:r>
      <w:r w:rsidRPr="00E35F91">
        <w:rPr>
          <w:rFonts w:ascii="Segoe UI" w:hAnsi="Segoe UI" w:cs="Segoe UI"/>
          <w:color w:val="auto"/>
          <w:sz w:val="20"/>
        </w:rPr>
        <w:t>s</w:t>
      </w:r>
      <w:r w:rsidR="0098542C" w:rsidRPr="00E35F91">
        <w:rPr>
          <w:rFonts w:ascii="Segoe UI" w:hAnsi="Segoe UI" w:cs="Segoe UI"/>
          <w:color w:val="auto"/>
          <w:sz w:val="20"/>
        </w:rPr>
        <w:t>pecific circumstances</w:t>
      </w:r>
      <w:r w:rsidRPr="00E35F91">
        <w:rPr>
          <w:rFonts w:ascii="Segoe UI" w:hAnsi="Segoe UI" w:cs="Segoe UI"/>
          <w:color w:val="auto"/>
          <w:sz w:val="20"/>
        </w:rPr>
        <w:t xml:space="preserve"> of</w:t>
      </w:r>
      <w:r w:rsidR="0098542C" w:rsidRPr="00E35F91">
        <w:rPr>
          <w:rFonts w:ascii="Segoe UI" w:hAnsi="Segoe UI" w:cs="Segoe UI"/>
          <w:color w:val="auto"/>
          <w:sz w:val="20"/>
        </w:rPr>
        <w:t xml:space="preserve"> </w:t>
      </w:r>
      <w:r w:rsidRPr="00E35F91">
        <w:rPr>
          <w:rFonts w:ascii="Segoe UI" w:hAnsi="Segoe UI" w:cs="Segoe UI"/>
          <w:color w:val="auto"/>
          <w:sz w:val="20"/>
        </w:rPr>
        <w:t>individual products</w:t>
      </w:r>
      <w:r w:rsidR="0098542C" w:rsidRPr="00E35F91">
        <w:rPr>
          <w:rFonts w:ascii="Segoe UI" w:hAnsi="Segoe UI" w:cs="Segoe UI"/>
          <w:color w:val="auto"/>
          <w:sz w:val="20"/>
        </w:rPr>
        <w:t xml:space="preserve">, and the reasonable expectations and circumstances of different </w:t>
      </w:r>
      <w:r w:rsidRPr="00E35F91">
        <w:rPr>
          <w:rFonts w:ascii="Segoe UI" w:hAnsi="Segoe UI" w:cs="Segoe UI"/>
          <w:color w:val="auto"/>
          <w:sz w:val="20"/>
        </w:rPr>
        <w:t xml:space="preserve">classes of </w:t>
      </w:r>
      <w:r w:rsidR="0098542C" w:rsidRPr="00E35F91">
        <w:rPr>
          <w:rFonts w:ascii="Segoe UI" w:hAnsi="Segoe UI" w:cs="Segoe UI"/>
          <w:color w:val="auto"/>
          <w:sz w:val="20"/>
        </w:rPr>
        <w:t>consumers.   DSA considers the existing guidance material and information published by ACL regulators is adequate.  Given the circumstances of each product and consumer are different, further “overarching guidance” or examples in product categories, or requiring direct representations about individual product lifespans would be a disproportionate response</w:t>
      </w:r>
      <w:r w:rsidRPr="00E35F91">
        <w:rPr>
          <w:rFonts w:ascii="Segoe UI" w:hAnsi="Segoe UI" w:cs="Segoe UI"/>
          <w:color w:val="auto"/>
          <w:sz w:val="20"/>
        </w:rPr>
        <w:t>,</w:t>
      </w:r>
      <w:r w:rsidR="0098542C" w:rsidRPr="00E35F91">
        <w:rPr>
          <w:rFonts w:ascii="Segoe UI" w:hAnsi="Segoe UI" w:cs="Segoe UI"/>
          <w:color w:val="auto"/>
          <w:sz w:val="20"/>
        </w:rPr>
        <w:t xml:space="preserve"> and unnecessarily increase compliance costs for </w:t>
      </w:r>
      <w:r w:rsidR="00E67612" w:rsidRPr="00E35F91">
        <w:rPr>
          <w:rFonts w:ascii="Segoe UI" w:hAnsi="Segoe UI" w:cs="Segoe UI"/>
          <w:color w:val="auto"/>
          <w:sz w:val="20"/>
        </w:rPr>
        <w:t>goods manufacturers and</w:t>
      </w:r>
      <w:r w:rsidR="0098542C" w:rsidRPr="00E35F91">
        <w:rPr>
          <w:rFonts w:ascii="Segoe UI" w:hAnsi="Segoe UI" w:cs="Segoe UI"/>
          <w:color w:val="auto"/>
          <w:sz w:val="20"/>
        </w:rPr>
        <w:t xml:space="preserve"> sellers.  Increased cost </w:t>
      </w:r>
      <w:r w:rsidRPr="00E35F91">
        <w:rPr>
          <w:rFonts w:ascii="Segoe UI" w:hAnsi="Segoe UI" w:cs="Segoe UI"/>
          <w:color w:val="auto"/>
          <w:sz w:val="20"/>
        </w:rPr>
        <w:t>would likely</w:t>
      </w:r>
      <w:r w:rsidR="0098542C" w:rsidRPr="00E35F91">
        <w:rPr>
          <w:rFonts w:ascii="Segoe UI" w:hAnsi="Segoe UI" w:cs="Segoe UI"/>
          <w:color w:val="auto"/>
          <w:sz w:val="20"/>
        </w:rPr>
        <w:t xml:space="preserve"> be passed on to </w:t>
      </w:r>
      <w:r w:rsidRPr="00E35F91">
        <w:rPr>
          <w:rFonts w:ascii="Segoe UI" w:hAnsi="Segoe UI" w:cs="Segoe UI"/>
          <w:color w:val="auto"/>
          <w:sz w:val="20"/>
        </w:rPr>
        <w:t>consumers</w:t>
      </w:r>
      <w:r w:rsidR="0098542C" w:rsidRPr="00E35F91">
        <w:rPr>
          <w:rFonts w:ascii="Segoe UI" w:hAnsi="Segoe UI" w:cs="Segoe UI"/>
          <w:color w:val="auto"/>
          <w:sz w:val="20"/>
        </w:rPr>
        <w:t>.</w:t>
      </w:r>
    </w:p>
    <w:p w:rsidR="0098542C" w:rsidRPr="00E35F91" w:rsidRDefault="0098542C" w:rsidP="00DC6360">
      <w:pPr>
        <w:jc w:val="both"/>
        <w:rPr>
          <w:rFonts w:ascii="Segoe UI" w:hAnsi="Segoe UI" w:cs="Segoe UI"/>
          <w:color w:val="auto"/>
          <w:sz w:val="20"/>
        </w:rPr>
      </w:pPr>
      <w:r w:rsidRPr="00E35F91">
        <w:rPr>
          <w:rFonts w:ascii="Segoe UI" w:hAnsi="Segoe UI" w:cs="Segoe UI"/>
          <w:color w:val="auto"/>
          <w:sz w:val="20"/>
        </w:rPr>
        <w:t xml:space="preserve">Some uncertainty is inevitable – further guidance may only serve to increase uncertainty or diminish the flexibility and </w:t>
      </w:r>
      <w:r w:rsidR="00B55EF2" w:rsidRPr="00E35F91">
        <w:rPr>
          <w:rFonts w:ascii="Segoe UI" w:hAnsi="Segoe UI" w:cs="Segoe UI"/>
          <w:color w:val="auto"/>
          <w:sz w:val="20"/>
        </w:rPr>
        <w:t>principle-based</w:t>
      </w:r>
      <w:r w:rsidRPr="00E35F91">
        <w:rPr>
          <w:rFonts w:ascii="Segoe UI" w:hAnsi="Segoe UI" w:cs="Segoe UI"/>
          <w:color w:val="auto"/>
          <w:sz w:val="20"/>
        </w:rPr>
        <w:t xml:space="preserve"> approach currently reflected in the ACL, without any ultimate benefit to consumers.</w:t>
      </w:r>
    </w:p>
    <w:p w:rsidR="0098542C" w:rsidRPr="00E35F91" w:rsidRDefault="0098542C" w:rsidP="00DC6360">
      <w:pPr>
        <w:jc w:val="both"/>
        <w:rPr>
          <w:rFonts w:ascii="Segoe UI" w:hAnsi="Segoe UI" w:cs="Segoe UI"/>
          <w:color w:val="auto"/>
          <w:sz w:val="20"/>
        </w:rPr>
      </w:pPr>
      <w:r w:rsidRPr="00E35F91">
        <w:rPr>
          <w:rFonts w:ascii="Segoe UI" w:hAnsi="Segoe UI" w:cs="Segoe UI"/>
          <w:color w:val="auto"/>
          <w:sz w:val="20"/>
        </w:rPr>
        <w:t>Special guidance and information may be justified in relation to electrical and whitegoods given the higher price and consumer expectations often attached to these items.  This does not necessarily require that further guidance should be published in relation to other consumer goods.</w:t>
      </w:r>
      <w:r w:rsidR="002A01A7" w:rsidRPr="00E35F91">
        <w:rPr>
          <w:rFonts w:ascii="Segoe UI" w:hAnsi="Segoe UI" w:cs="Segoe UI"/>
          <w:color w:val="auto"/>
          <w:sz w:val="20"/>
        </w:rPr>
        <w:t xml:space="preserve">   D</w:t>
      </w:r>
      <w:r w:rsidRPr="00E35F91">
        <w:rPr>
          <w:rFonts w:ascii="Segoe UI" w:hAnsi="Segoe UI" w:cs="Segoe UI"/>
          <w:color w:val="auto"/>
          <w:sz w:val="20"/>
        </w:rPr>
        <w:t xml:space="preserve">SA </w:t>
      </w:r>
      <w:r w:rsidR="002A01A7" w:rsidRPr="00E35F91">
        <w:rPr>
          <w:rFonts w:ascii="Segoe UI" w:hAnsi="Segoe UI" w:cs="Segoe UI"/>
          <w:color w:val="auto"/>
          <w:sz w:val="20"/>
        </w:rPr>
        <w:t>does not believe it is a regulator’s role</w:t>
      </w:r>
      <w:r w:rsidRPr="00E35F91">
        <w:rPr>
          <w:rFonts w:ascii="Segoe UI" w:hAnsi="Segoe UI" w:cs="Segoe UI"/>
          <w:color w:val="auto"/>
          <w:sz w:val="20"/>
        </w:rPr>
        <w:t xml:space="preserve"> to effectively impose additional legal requirements around an issue of durability that is not reflected in the ACL.</w:t>
      </w:r>
    </w:p>
    <w:p w:rsidR="0098542C" w:rsidRPr="00E35F91" w:rsidRDefault="0098542C" w:rsidP="00DC6360">
      <w:pPr>
        <w:pStyle w:val="TableTextLeft-NumberingAppB"/>
        <w:numPr>
          <w:ilvl w:val="0"/>
          <w:numId w:val="0"/>
        </w:numPr>
        <w:tabs>
          <w:tab w:val="clear" w:pos="340"/>
          <w:tab w:val="left" w:pos="450"/>
        </w:tabs>
        <w:ind w:left="450" w:hanging="450"/>
        <w:jc w:val="both"/>
        <w:rPr>
          <w:rFonts w:ascii="Segoe UI" w:hAnsi="Segoe UI" w:cs="Segoe UI"/>
          <w:i/>
          <w:color w:val="002060"/>
        </w:rPr>
      </w:pPr>
      <w:r w:rsidRPr="00E35F91">
        <w:rPr>
          <w:rFonts w:ascii="Segoe UI" w:hAnsi="Segoe UI" w:cs="Segoe UI"/>
          <w:i/>
          <w:color w:val="002060"/>
        </w:rPr>
        <w:t>11.</w:t>
      </w:r>
      <w:r w:rsidRPr="00E35F91">
        <w:rPr>
          <w:rFonts w:ascii="Segoe UI" w:hAnsi="Segoe UI" w:cs="Segoe UI"/>
          <w:i/>
          <w:color w:val="002060"/>
        </w:rPr>
        <w:tab/>
        <w:t>Are there other areas of uncertainty raised by stakeholders that would benefit from further guidance? For example, the cost of returning rejected goods, including what may constitute ‘significant’ cost?</w:t>
      </w:r>
    </w:p>
    <w:p w:rsidR="0098542C" w:rsidRPr="00E35F91" w:rsidRDefault="0098542C" w:rsidP="00DC6360">
      <w:pPr>
        <w:jc w:val="both"/>
        <w:rPr>
          <w:rFonts w:ascii="Segoe UI" w:hAnsi="Segoe UI" w:cs="Segoe UI"/>
          <w:color w:val="auto"/>
          <w:sz w:val="20"/>
        </w:rPr>
      </w:pPr>
      <w:r w:rsidRPr="00E35F91">
        <w:rPr>
          <w:rFonts w:ascii="Segoe UI" w:hAnsi="Segoe UI" w:cs="Segoe UI"/>
          <w:color w:val="auto"/>
          <w:sz w:val="20"/>
        </w:rPr>
        <w:t xml:space="preserve">No, for the </w:t>
      </w:r>
      <w:r w:rsidR="00C96A27" w:rsidRPr="00E35F91">
        <w:rPr>
          <w:rFonts w:ascii="Segoe UI" w:hAnsi="Segoe UI" w:cs="Segoe UI"/>
          <w:color w:val="auto"/>
          <w:sz w:val="20"/>
        </w:rPr>
        <w:t>above reasons.</w:t>
      </w:r>
    </w:p>
    <w:p w:rsidR="0098542C" w:rsidRPr="00E35F91" w:rsidRDefault="0098542C" w:rsidP="00DC6360">
      <w:pPr>
        <w:pStyle w:val="TableTextLeft-NumberingAppB"/>
        <w:numPr>
          <w:ilvl w:val="0"/>
          <w:numId w:val="0"/>
        </w:numPr>
        <w:tabs>
          <w:tab w:val="clear" w:pos="340"/>
          <w:tab w:val="left" w:pos="450"/>
        </w:tabs>
        <w:ind w:left="450" w:hanging="450"/>
        <w:jc w:val="both"/>
        <w:rPr>
          <w:rFonts w:ascii="Segoe UI" w:hAnsi="Segoe UI" w:cs="Segoe UI"/>
          <w:i/>
          <w:color w:val="002060"/>
        </w:rPr>
      </w:pPr>
      <w:r w:rsidRPr="00E35F91">
        <w:rPr>
          <w:rFonts w:ascii="Segoe UI" w:hAnsi="Segoe UI" w:cs="Segoe UI"/>
          <w:i/>
          <w:color w:val="002060"/>
        </w:rPr>
        <w:lastRenderedPageBreak/>
        <w:t>12.</w:t>
      </w:r>
      <w:r w:rsidRPr="00E35F91">
        <w:rPr>
          <w:rFonts w:ascii="Segoe UI" w:hAnsi="Segoe UI" w:cs="Segoe UI"/>
          <w:i/>
          <w:color w:val="002060"/>
        </w:rPr>
        <w:tab/>
        <w:t>If they are not suited to this approach, why not? For example, do the issues (such as the costs of technicians or returning a good) require further legislative clarification, or should the status quo remain to ensure a high level of flexibility?</w:t>
      </w:r>
    </w:p>
    <w:p w:rsidR="00106DFE" w:rsidRPr="00E35F91" w:rsidRDefault="00106DFE" w:rsidP="00DC6360">
      <w:pPr>
        <w:jc w:val="both"/>
        <w:rPr>
          <w:rFonts w:ascii="Segoe UI" w:hAnsi="Segoe UI" w:cs="Segoe UI"/>
          <w:color w:val="auto"/>
          <w:sz w:val="20"/>
        </w:rPr>
      </w:pPr>
      <w:r w:rsidRPr="00E35F91">
        <w:rPr>
          <w:rFonts w:ascii="Segoe UI" w:hAnsi="Segoe UI" w:cs="Segoe UI"/>
          <w:color w:val="auto"/>
          <w:sz w:val="20"/>
        </w:rPr>
        <w:t xml:space="preserve">The status quo should remain to ensure a high level of flexibility for </w:t>
      </w:r>
      <w:r w:rsidR="00E67612" w:rsidRPr="00E35F91">
        <w:rPr>
          <w:rFonts w:ascii="Segoe UI" w:hAnsi="Segoe UI" w:cs="Segoe UI"/>
          <w:color w:val="auto"/>
          <w:sz w:val="20"/>
        </w:rPr>
        <w:t>goods manufacturers,</w:t>
      </w:r>
      <w:r w:rsidRPr="00E35F91">
        <w:rPr>
          <w:rFonts w:ascii="Segoe UI" w:hAnsi="Segoe UI" w:cs="Segoe UI"/>
          <w:color w:val="auto"/>
          <w:sz w:val="20"/>
        </w:rPr>
        <w:t xml:space="preserve"> sellers and consumers.</w:t>
      </w:r>
    </w:p>
    <w:p w:rsidR="00106DFE" w:rsidRPr="00E35F91" w:rsidRDefault="00106DFE" w:rsidP="00DC6360">
      <w:pPr>
        <w:pStyle w:val="TableTextLeft-NumberingAppB"/>
        <w:numPr>
          <w:ilvl w:val="0"/>
          <w:numId w:val="0"/>
        </w:numPr>
        <w:tabs>
          <w:tab w:val="clear" w:pos="340"/>
          <w:tab w:val="left" w:pos="450"/>
        </w:tabs>
        <w:ind w:left="450" w:hanging="450"/>
        <w:jc w:val="both"/>
        <w:rPr>
          <w:rFonts w:ascii="Segoe UI" w:hAnsi="Segoe UI" w:cs="Segoe UI"/>
          <w:i/>
          <w:color w:val="44546A" w:themeColor="text2"/>
          <w:sz w:val="20"/>
          <w:szCs w:val="20"/>
        </w:rPr>
      </w:pPr>
      <w:r w:rsidRPr="00E35F91">
        <w:rPr>
          <w:rFonts w:ascii="Segoe UI" w:hAnsi="Segoe UI" w:cs="Segoe UI"/>
          <w:i/>
          <w:color w:val="002060"/>
        </w:rPr>
        <w:t>13.</w:t>
      </w:r>
      <w:r w:rsidRPr="00E35F91">
        <w:rPr>
          <w:rFonts w:ascii="Segoe UI" w:hAnsi="Segoe UI" w:cs="Segoe UI"/>
          <w:i/>
          <w:color w:val="002060"/>
        </w:rPr>
        <w:tab/>
        <w:t>What more, if anything, can be done to encourage businesses to provide more information about the durability of their products? What, if any, further guidance on durability is feasible while still allowing important differences between goods of a certain type to be recognised</w:t>
      </w:r>
      <w:r w:rsidRPr="00E35F91">
        <w:rPr>
          <w:rFonts w:ascii="Segoe UI" w:hAnsi="Segoe UI" w:cs="Segoe UI"/>
          <w:i/>
          <w:color w:val="44546A" w:themeColor="text2"/>
          <w:sz w:val="20"/>
          <w:szCs w:val="20"/>
        </w:rPr>
        <w:t>?</w:t>
      </w:r>
    </w:p>
    <w:p w:rsidR="00106DFE" w:rsidRPr="00E35F91" w:rsidRDefault="00106DFE"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 xml:space="preserve">The </w:t>
      </w:r>
      <w:r w:rsidR="002A01A7" w:rsidRPr="00E35F91">
        <w:rPr>
          <w:rFonts w:ascii="Segoe UI" w:hAnsi="Segoe UI" w:cs="Segoe UI"/>
          <w:color w:val="auto"/>
          <w:sz w:val="20"/>
        </w:rPr>
        <w:t>question seems</w:t>
      </w:r>
      <w:r w:rsidRPr="00E35F91">
        <w:rPr>
          <w:rFonts w:ascii="Segoe UI" w:hAnsi="Segoe UI" w:cs="Segoe UI"/>
          <w:color w:val="auto"/>
          <w:sz w:val="20"/>
        </w:rPr>
        <w:t xml:space="preserve"> predicated on </w:t>
      </w:r>
      <w:r w:rsidR="002A01A7" w:rsidRPr="00E35F91">
        <w:rPr>
          <w:rFonts w:ascii="Segoe UI" w:hAnsi="Segoe UI" w:cs="Segoe UI"/>
          <w:color w:val="auto"/>
          <w:sz w:val="20"/>
        </w:rPr>
        <w:t>an</w:t>
      </w:r>
      <w:r w:rsidRPr="00E35F91">
        <w:rPr>
          <w:rFonts w:ascii="Segoe UI" w:hAnsi="Segoe UI" w:cs="Segoe UI"/>
          <w:color w:val="auto"/>
          <w:sz w:val="20"/>
        </w:rPr>
        <w:t xml:space="preserve"> assumption that the law should encourage businesses to provide more information about the durability of their products.  DSA does not accept </w:t>
      </w:r>
      <w:r w:rsidR="002C590B" w:rsidRPr="00E35F91">
        <w:rPr>
          <w:rFonts w:ascii="Segoe UI" w:hAnsi="Segoe UI" w:cs="Segoe UI"/>
          <w:color w:val="auto"/>
          <w:sz w:val="20"/>
        </w:rPr>
        <w:t>this</w:t>
      </w:r>
      <w:r w:rsidRPr="00E35F91">
        <w:rPr>
          <w:rFonts w:ascii="Segoe UI" w:hAnsi="Segoe UI" w:cs="Segoe UI"/>
          <w:color w:val="auto"/>
          <w:sz w:val="20"/>
        </w:rPr>
        <w:t xml:space="preserve"> approach.   Businesses should be free to choose whether to provide more information about the durability of their products – if they choose to do so, </w:t>
      </w:r>
      <w:r w:rsidR="002A01A7" w:rsidRPr="00E35F91">
        <w:rPr>
          <w:rFonts w:ascii="Segoe UI" w:hAnsi="Segoe UI" w:cs="Segoe UI"/>
          <w:color w:val="auto"/>
          <w:sz w:val="20"/>
        </w:rPr>
        <w:t>with the</w:t>
      </w:r>
      <w:r w:rsidRPr="00E35F91">
        <w:rPr>
          <w:rFonts w:ascii="Segoe UI" w:hAnsi="Segoe UI" w:cs="Segoe UI"/>
          <w:color w:val="auto"/>
          <w:sz w:val="20"/>
        </w:rPr>
        <w:t xml:space="preserve"> consumer guarantees and misleading and deceptive conduct </w:t>
      </w:r>
      <w:r w:rsidR="002C590B" w:rsidRPr="00E35F91">
        <w:rPr>
          <w:rFonts w:ascii="Segoe UI" w:hAnsi="Segoe UI" w:cs="Segoe UI"/>
          <w:color w:val="auto"/>
          <w:sz w:val="20"/>
        </w:rPr>
        <w:t xml:space="preserve">provisions </w:t>
      </w:r>
      <w:r w:rsidR="002A01A7" w:rsidRPr="00E35F91">
        <w:rPr>
          <w:rFonts w:ascii="Segoe UI" w:hAnsi="Segoe UI" w:cs="Segoe UI"/>
          <w:color w:val="auto"/>
          <w:sz w:val="20"/>
        </w:rPr>
        <w:t>holding businesses t</w:t>
      </w:r>
      <w:r w:rsidRPr="00E35F91">
        <w:rPr>
          <w:rFonts w:ascii="Segoe UI" w:hAnsi="Segoe UI" w:cs="Segoe UI"/>
          <w:color w:val="auto"/>
          <w:sz w:val="20"/>
        </w:rPr>
        <w:t xml:space="preserve">o their representations.   It is difficult to see how further guidance on durability may appropriately differentiate between goods of a certain type without increasing the complexity and diminishing the flexibility and </w:t>
      </w:r>
      <w:r w:rsidR="00B55EF2" w:rsidRPr="00E35F91">
        <w:rPr>
          <w:rFonts w:ascii="Segoe UI" w:hAnsi="Segoe UI" w:cs="Segoe UI"/>
          <w:color w:val="auto"/>
          <w:sz w:val="20"/>
        </w:rPr>
        <w:t>principle-based</w:t>
      </w:r>
      <w:r w:rsidRPr="00E35F91">
        <w:rPr>
          <w:rFonts w:ascii="Segoe UI" w:hAnsi="Segoe UI" w:cs="Segoe UI"/>
          <w:color w:val="auto"/>
          <w:sz w:val="20"/>
        </w:rPr>
        <w:t xml:space="preserve"> approach reflected in the ACL.</w:t>
      </w:r>
    </w:p>
    <w:p w:rsidR="002820A8" w:rsidRPr="00E35F91" w:rsidRDefault="002820A8" w:rsidP="00DC6360">
      <w:pPr>
        <w:tabs>
          <w:tab w:val="left" w:pos="720"/>
        </w:tabs>
        <w:spacing w:before="0" w:after="160" w:line="259" w:lineRule="auto"/>
        <w:jc w:val="both"/>
        <w:rPr>
          <w:rFonts w:ascii="Segoe UI" w:hAnsi="Segoe UI" w:cs="Segoe UI"/>
          <w:b/>
          <w:color w:val="auto"/>
          <w:sz w:val="20"/>
        </w:rPr>
      </w:pPr>
      <w:r w:rsidRPr="00E35F91">
        <w:rPr>
          <w:rFonts w:ascii="Segoe UI" w:hAnsi="Segoe UI" w:cs="Segoe UI"/>
          <w:b/>
          <w:color w:val="auto"/>
          <w:sz w:val="20"/>
        </w:rPr>
        <w:t>2.1.3</w:t>
      </w:r>
      <w:r w:rsidRPr="00E35F91">
        <w:rPr>
          <w:rFonts w:ascii="Segoe UI" w:hAnsi="Segoe UI" w:cs="Segoe UI"/>
          <w:b/>
          <w:color w:val="auto"/>
          <w:sz w:val="20"/>
        </w:rPr>
        <w:tab/>
        <w:t>Barriers to accessing refunds</w:t>
      </w:r>
    </w:p>
    <w:p w:rsidR="002820A8" w:rsidRPr="00E35F91" w:rsidRDefault="007750B6"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 xml:space="preserve">It is </w:t>
      </w:r>
      <w:r w:rsidR="003E4E96" w:rsidRPr="00E35F91">
        <w:rPr>
          <w:rFonts w:ascii="Segoe UI" w:hAnsi="Segoe UI" w:cs="Segoe UI"/>
          <w:color w:val="auto"/>
          <w:sz w:val="20"/>
        </w:rPr>
        <w:t>suggested</w:t>
      </w:r>
      <w:r w:rsidR="002820A8" w:rsidRPr="00E35F91">
        <w:rPr>
          <w:rFonts w:ascii="Segoe UI" w:hAnsi="Segoe UI" w:cs="Segoe UI"/>
          <w:color w:val="auto"/>
          <w:sz w:val="20"/>
        </w:rPr>
        <w:t xml:space="preserve"> non-disclosure agreements for settlements offering no more than existing ACL rights should be banned.   DSA opposes this.   In many cases, </w:t>
      </w:r>
      <w:r w:rsidR="006D6CAB" w:rsidRPr="00E35F91">
        <w:rPr>
          <w:rFonts w:ascii="Segoe UI" w:hAnsi="Segoe UI" w:cs="Segoe UI"/>
          <w:color w:val="auto"/>
          <w:sz w:val="20"/>
        </w:rPr>
        <w:t>an</w:t>
      </w:r>
      <w:r w:rsidR="002820A8" w:rsidRPr="00E35F91">
        <w:rPr>
          <w:rFonts w:ascii="Segoe UI" w:hAnsi="Segoe UI" w:cs="Segoe UI"/>
          <w:color w:val="auto"/>
          <w:sz w:val="20"/>
        </w:rPr>
        <w:t xml:space="preserve"> entitlement to ACL remedies, including refund or replacement, is </w:t>
      </w:r>
      <w:r w:rsidR="00E67612" w:rsidRPr="00E35F91">
        <w:rPr>
          <w:rFonts w:ascii="Segoe UI" w:hAnsi="Segoe UI" w:cs="Segoe UI"/>
          <w:color w:val="auto"/>
          <w:sz w:val="20"/>
        </w:rPr>
        <w:t xml:space="preserve">legitimately </w:t>
      </w:r>
      <w:r w:rsidR="002820A8" w:rsidRPr="00E35F91">
        <w:rPr>
          <w:rFonts w:ascii="Segoe UI" w:hAnsi="Segoe UI" w:cs="Segoe UI"/>
          <w:color w:val="auto"/>
          <w:sz w:val="20"/>
        </w:rPr>
        <w:t>disputed</w:t>
      </w:r>
      <w:r w:rsidR="00E67612" w:rsidRPr="00E35F91">
        <w:rPr>
          <w:rFonts w:ascii="Segoe UI" w:hAnsi="Segoe UI" w:cs="Segoe UI"/>
          <w:color w:val="auto"/>
          <w:sz w:val="20"/>
        </w:rPr>
        <w:t xml:space="preserve"> or uncertain</w:t>
      </w:r>
      <w:r w:rsidR="002820A8" w:rsidRPr="00E35F91">
        <w:rPr>
          <w:rFonts w:ascii="Segoe UI" w:hAnsi="Segoe UI" w:cs="Segoe UI"/>
          <w:color w:val="auto"/>
          <w:sz w:val="20"/>
        </w:rPr>
        <w:t xml:space="preserve">.  </w:t>
      </w:r>
      <w:r w:rsidR="00E67612" w:rsidRPr="00E35F91">
        <w:rPr>
          <w:rFonts w:ascii="Segoe UI" w:hAnsi="Segoe UI" w:cs="Segoe UI"/>
          <w:color w:val="auto"/>
          <w:sz w:val="20"/>
        </w:rPr>
        <w:t xml:space="preserve">Consumer loss or damage </w:t>
      </w:r>
      <w:r w:rsidR="002820A8" w:rsidRPr="00E35F91">
        <w:rPr>
          <w:rFonts w:ascii="Segoe UI" w:hAnsi="Segoe UI" w:cs="Segoe UI"/>
          <w:color w:val="auto"/>
          <w:sz w:val="20"/>
        </w:rPr>
        <w:t xml:space="preserve">could arise from misuse of the goods, </w:t>
      </w:r>
      <w:r w:rsidR="00E67612" w:rsidRPr="00E35F91">
        <w:rPr>
          <w:rFonts w:ascii="Segoe UI" w:hAnsi="Segoe UI" w:cs="Segoe UI"/>
          <w:color w:val="auto"/>
          <w:sz w:val="20"/>
        </w:rPr>
        <w:t>or</w:t>
      </w:r>
      <w:r w:rsidR="002820A8" w:rsidRPr="00E35F91">
        <w:rPr>
          <w:rFonts w:ascii="Segoe UI" w:hAnsi="Segoe UI" w:cs="Segoe UI"/>
          <w:color w:val="auto"/>
          <w:sz w:val="20"/>
        </w:rPr>
        <w:t xml:space="preserve"> failure to follow the manufacturer’s instructions</w:t>
      </w:r>
      <w:r w:rsidR="00E67612" w:rsidRPr="00E35F91">
        <w:rPr>
          <w:rFonts w:ascii="Segoe UI" w:hAnsi="Segoe UI" w:cs="Segoe UI"/>
          <w:color w:val="auto"/>
          <w:sz w:val="20"/>
        </w:rPr>
        <w:t xml:space="preserve">.   </w:t>
      </w:r>
      <w:r w:rsidR="00BC6FB8" w:rsidRPr="00E35F91">
        <w:rPr>
          <w:rFonts w:ascii="Segoe UI" w:hAnsi="Segoe UI" w:cs="Segoe UI"/>
          <w:color w:val="auto"/>
          <w:sz w:val="20"/>
        </w:rPr>
        <w:t>The</w:t>
      </w:r>
      <w:r w:rsidR="00E67612" w:rsidRPr="00E35F91">
        <w:rPr>
          <w:rFonts w:ascii="Segoe UI" w:hAnsi="Segoe UI" w:cs="Segoe UI"/>
          <w:color w:val="auto"/>
          <w:sz w:val="20"/>
        </w:rPr>
        <w:t xml:space="preserve"> manufacturer or supplier may </w:t>
      </w:r>
      <w:r w:rsidR="00BC6FB8" w:rsidRPr="00E35F91">
        <w:rPr>
          <w:rFonts w:ascii="Segoe UI" w:hAnsi="Segoe UI" w:cs="Segoe UI"/>
          <w:color w:val="auto"/>
          <w:sz w:val="20"/>
        </w:rPr>
        <w:t xml:space="preserve">also </w:t>
      </w:r>
      <w:r w:rsidR="0013108D" w:rsidRPr="00E35F91">
        <w:rPr>
          <w:rFonts w:ascii="Segoe UI" w:hAnsi="Segoe UI" w:cs="Segoe UI"/>
          <w:color w:val="auto"/>
          <w:sz w:val="20"/>
        </w:rPr>
        <w:t>be denied</w:t>
      </w:r>
      <w:r w:rsidR="00E67612" w:rsidRPr="00E35F91">
        <w:rPr>
          <w:rFonts w:ascii="Segoe UI" w:hAnsi="Segoe UI" w:cs="Segoe UI"/>
          <w:color w:val="auto"/>
          <w:sz w:val="20"/>
        </w:rPr>
        <w:t xml:space="preserve"> a reasonable opportunity to properly investigate or resolve a claim because of </w:t>
      </w:r>
      <w:r w:rsidR="00BC6FB8" w:rsidRPr="00E35F91">
        <w:rPr>
          <w:rFonts w:ascii="Segoe UI" w:hAnsi="Segoe UI" w:cs="Segoe UI"/>
          <w:color w:val="auto"/>
          <w:sz w:val="20"/>
        </w:rPr>
        <w:t>a</w:t>
      </w:r>
      <w:r w:rsidR="00E67612" w:rsidRPr="00E35F91">
        <w:rPr>
          <w:rFonts w:ascii="Segoe UI" w:hAnsi="Segoe UI" w:cs="Segoe UI"/>
          <w:color w:val="auto"/>
          <w:sz w:val="20"/>
        </w:rPr>
        <w:t xml:space="preserve"> consumer’s refusal to return goods for testing or repair.</w:t>
      </w:r>
      <w:r w:rsidR="002820A8" w:rsidRPr="00E35F91">
        <w:rPr>
          <w:rFonts w:ascii="Segoe UI" w:hAnsi="Segoe UI" w:cs="Segoe UI"/>
          <w:color w:val="auto"/>
          <w:sz w:val="20"/>
        </w:rPr>
        <w:t xml:space="preserve">  </w:t>
      </w:r>
    </w:p>
    <w:p w:rsidR="002820A8" w:rsidRPr="00E35F91" w:rsidRDefault="0013108D"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DSA submits that b</w:t>
      </w:r>
      <w:r w:rsidR="002820A8" w:rsidRPr="00E35F91">
        <w:rPr>
          <w:rFonts w:ascii="Segoe UI" w:hAnsi="Segoe UI" w:cs="Segoe UI"/>
          <w:color w:val="auto"/>
          <w:sz w:val="20"/>
        </w:rPr>
        <w:t xml:space="preserve">anning non-disclosure agreements would be counter-productive from </w:t>
      </w:r>
      <w:r w:rsidRPr="00E35F91">
        <w:rPr>
          <w:rFonts w:ascii="Segoe UI" w:hAnsi="Segoe UI" w:cs="Segoe UI"/>
          <w:color w:val="auto"/>
          <w:sz w:val="20"/>
        </w:rPr>
        <w:t>a consumer perspective</w:t>
      </w:r>
      <w:r w:rsidR="002820A8" w:rsidRPr="00E35F91">
        <w:rPr>
          <w:rFonts w:ascii="Segoe UI" w:hAnsi="Segoe UI" w:cs="Segoe UI"/>
          <w:color w:val="auto"/>
          <w:sz w:val="20"/>
        </w:rPr>
        <w:t xml:space="preserve">, as it may discourage businesses from providing any remedy or resolving claims in circumstances where the claim is </w:t>
      </w:r>
      <w:r w:rsidR="00E67612" w:rsidRPr="00E35F91">
        <w:rPr>
          <w:rFonts w:ascii="Segoe UI" w:hAnsi="Segoe UI" w:cs="Segoe UI"/>
          <w:color w:val="auto"/>
          <w:sz w:val="20"/>
        </w:rPr>
        <w:t xml:space="preserve">legitimately </w:t>
      </w:r>
      <w:r w:rsidR="002820A8" w:rsidRPr="00E35F91">
        <w:rPr>
          <w:rFonts w:ascii="Segoe UI" w:hAnsi="Segoe UI" w:cs="Segoe UI"/>
          <w:color w:val="auto"/>
          <w:sz w:val="20"/>
        </w:rPr>
        <w:t>disputed</w:t>
      </w:r>
      <w:r w:rsidR="00E67612" w:rsidRPr="00E35F91">
        <w:rPr>
          <w:rFonts w:ascii="Segoe UI" w:hAnsi="Segoe UI" w:cs="Segoe UI"/>
          <w:color w:val="auto"/>
          <w:sz w:val="20"/>
        </w:rPr>
        <w:t xml:space="preserve"> or is uncertain.</w:t>
      </w:r>
    </w:p>
    <w:p w:rsidR="00106DFE" w:rsidRPr="00E35F91" w:rsidRDefault="002820A8"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It is accepted</w:t>
      </w:r>
      <w:r w:rsidR="007750B6" w:rsidRPr="00E35F91">
        <w:rPr>
          <w:rFonts w:ascii="Segoe UI" w:hAnsi="Segoe UI" w:cs="Segoe UI"/>
          <w:color w:val="auto"/>
          <w:sz w:val="20"/>
        </w:rPr>
        <w:t xml:space="preserve"> </w:t>
      </w:r>
      <w:r w:rsidRPr="00E35F91">
        <w:rPr>
          <w:rFonts w:ascii="Segoe UI" w:hAnsi="Segoe UI" w:cs="Segoe UI"/>
          <w:color w:val="auto"/>
          <w:sz w:val="20"/>
        </w:rPr>
        <w:t xml:space="preserve">a non-disclosure agreement should not </w:t>
      </w:r>
      <w:r w:rsidR="007662E6" w:rsidRPr="00E35F91">
        <w:rPr>
          <w:rFonts w:ascii="Segoe UI" w:hAnsi="Segoe UI" w:cs="Segoe UI"/>
          <w:color w:val="auto"/>
          <w:sz w:val="20"/>
        </w:rPr>
        <w:t xml:space="preserve">be </w:t>
      </w:r>
      <w:r w:rsidRPr="00E35F91">
        <w:rPr>
          <w:rFonts w:ascii="Segoe UI" w:hAnsi="Segoe UI" w:cs="Segoe UI"/>
          <w:color w:val="auto"/>
          <w:sz w:val="20"/>
        </w:rPr>
        <w:t xml:space="preserve">imposed or enforced to prevent a consumer making a report to a regulator.  Any purported “contracting out” of the consumer guarantees under the ACL in this manner is already rendered void by </w:t>
      </w:r>
      <w:r w:rsidR="002C590B" w:rsidRPr="00E35F91">
        <w:rPr>
          <w:rFonts w:ascii="Segoe UI" w:hAnsi="Segoe UI" w:cs="Segoe UI"/>
          <w:color w:val="auto"/>
          <w:sz w:val="20"/>
        </w:rPr>
        <w:t xml:space="preserve">existing </w:t>
      </w:r>
      <w:r w:rsidR="00FB44B3" w:rsidRPr="00E35F91">
        <w:rPr>
          <w:rFonts w:ascii="Segoe UI" w:hAnsi="Segoe UI" w:cs="Segoe UI"/>
          <w:color w:val="auto"/>
          <w:sz w:val="20"/>
        </w:rPr>
        <w:t>provisions</w:t>
      </w:r>
      <w:r w:rsidRPr="00E35F91">
        <w:rPr>
          <w:rFonts w:ascii="Segoe UI" w:hAnsi="Segoe UI" w:cs="Segoe UI"/>
          <w:color w:val="auto"/>
          <w:sz w:val="20"/>
        </w:rPr>
        <w:t xml:space="preserve">, without the need for further </w:t>
      </w:r>
      <w:r w:rsidR="00E67612" w:rsidRPr="00E35F91">
        <w:rPr>
          <w:rFonts w:ascii="Segoe UI" w:hAnsi="Segoe UI" w:cs="Segoe UI"/>
          <w:color w:val="auto"/>
          <w:sz w:val="20"/>
        </w:rPr>
        <w:t>regulation</w:t>
      </w:r>
      <w:r w:rsidRPr="00E35F91">
        <w:rPr>
          <w:rFonts w:ascii="Segoe UI" w:hAnsi="Segoe UI" w:cs="Segoe UI"/>
          <w:color w:val="auto"/>
          <w:sz w:val="20"/>
        </w:rPr>
        <w:t>.</w:t>
      </w:r>
    </w:p>
    <w:p w:rsidR="002820A8" w:rsidRPr="00E35F91" w:rsidRDefault="002820A8" w:rsidP="00DC6360">
      <w:pPr>
        <w:pStyle w:val="NoSpacing"/>
        <w:jc w:val="both"/>
        <w:rPr>
          <w:rFonts w:ascii="Segoe UI" w:hAnsi="Segoe UI" w:cs="Segoe UI"/>
          <w:b/>
          <w:color w:val="auto"/>
        </w:rPr>
      </w:pPr>
      <w:r w:rsidRPr="00E35F91">
        <w:rPr>
          <w:rFonts w:ascii="Segoe UI" w:hAnsi="Segoe UI" w:cs="Segoe UI"/>
          <w:b/>
          <w:color w:val="auto"/>
        </w:rPr>
        <w:t>2.1.4</w:t>
      </w:r>
      <w:r w:rsidRPr="00E35F91">
        <w:rPr>
          <w:rFonts w:ascii="Segoe UI" w:hAnsi="Segoe UI" w:cs="Segoe UI"/>
          <w:b/>
          <w:color w:val="auto"/>
        </w:rPr>
        <w:tab/>
        <w:t>Lack of clarity about ‘major failures’</w:t>
      </w:r>
    </w:p>
    <w:p w:rsidR="002820A8" w:rsidRPr="00E35F91" w:rsidRDefault="002820A8" w:rsidP="00DC6360">
      <w:pPr>
        <w:pStyle w:val="NoSpacing"/>
        <w:jc w:val="both"/>
        <w:rPr>
          <w:rFonts w:ascii="Segoe UI" w:hAnsi="Segoe UI" w:cs="Segoe UI"/>
          <w:b/>
          <w:color w:val="auto"/>
        </w:rPr>
      </w:pPr>
      <w:r w:rsidRPr="00E35F91">
        <w:rPr>
          <w:rFonts w:ascii="Segoe UI" w:hAnsi="Segoe UI" w:cs="Segoe UI"/>
          <w:b/>
          <w:color w:val="auto"/>
        </w:rPr>
        <w:t>2.1.5</w:t>
      </w:r>
      <w:r w:rsidRPr="00E35F91">
        <w:rPr>
          <w:rFonts w:ascii="Segoe UI" w:hAnsi="Segoe UI" w:cs="Segoe UI"/>
          <w:b/>
          <w:color w:val="auto"/>
        </w:rPr>
        <w:tab/>
        <w:t>Industry-specific concerns</w:t>
      </w:r>
    </w:p>
    <w:p w:rsidR="002C590B" w:rsidRPr="00E35F91" w:rsidRDefault="002C590B" w:rsidP="00DC6360">
      <w:pPr>
        <w:pStyle w:val="NoSpacing"/>
        <w:jc w:val="both"/>
        <w:rPr>
          <w:rFonts w:ascii="Segoe UI" w:hAnsi="Segoe UI" w:cs="Segoe UI"/>
          <w:b/>
          <w:color w:val="auto"/>
        </w:rPr>
      </w:pPr>
    </w:p>
    <w:p w:rsidR="002820A8" w:rsidRPr="00E35F91" w:rsidRDefault="002820A8" w:rsidP="00DC6360">
      <w:pPr>
        <w:pStyle w:val="TableTextLeft-NumberingAppB"/>
        <w:numPr>
          <w:ilvl w:val="0"/>
          <w:numId w:val="0"/>
        </w:numPr>
        <w:tabs>
          <w:tab w:val="clear" w:pos="340"/>
          <w:tab w:val="left" w:pos="450"/>
        </w:tabs>
        <w:ind w:left="450" w:hanging="450"/>
        <w:jc w:val="both"/>
        <w:rPr>
          <w:rFonts w:ascii="Segoe UI" w:hAnsi="Segoe UI" w:cs="Segoe UI"/>
          <w:i/>
          <w:color w:val="002060"/>
        </w:rPr>
      </w:pPr>
      <w:r w:rsidRPr="00E35F91">
        <w:rPr>
          <w:rFonts w:ascii="Segoe UI" w:hAnsi="Segoe UI" w:cs="Segoe UI"/>
          <w:i/>
          <w:color w:val="002060"/>
        </w:rPr>
        <w:t>14.</w:t>
      </w:r>
      <w:r w:rsidR="007E4433" w:rsidRPr="00E35F91">
        <w:rPr>
          <w:rFonts w:ascii="Segoe UI" w:hAnsi="Segoe UI" w:cs="Segoe UI"/>
          <w:i/>
          <w:color w:val="002060"/>
        </w:rPr>
        <w:tab/>
      </w:r>
      <w:r w:rsidRPr="00E35F91">
        <w:rPr>
          <w:rFonts w:ascii="Segoe UI" w:hAnsi="Segoe UI" w:cs="Segoe UI"/>
          <w:i/>
          <w:color w:val="002060"/>
        </w:rPr>
        <w:t>Can issues about the acceptable quality of goods that are raised in particular industries be adequately addressed by generic approaches to law reform, in conjunction with industry</w:t>
      </w:r>
      <w:r w:rsidRPr="00E35F91">
        <w:rPr>
          <w:rFonts w:ascii="Segoe UI" w:hAnsi="Segoe UI" w:cs="Segoe UI"/>
          <w:i/>
          <w:color w:val="002060"/>
        </w:rPr>
        <w:noBreakHyphen/>
        <w:t>specific compliance, enforcement and education activities? What are the advantages and disadvantages of this approach?</w:t>
      </w:r>
    </w:p>
    <w:p w:rsidR="002820A8" w:rsidRPr="00E35F91" w:rsidRDefault="002820A8"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 xml:space="preserve">Issues about the acceptable quality of goods raised in particular industries </w:t>
      </w:r>
      <w:r w:rsidR="007662E6" w:rsidRPr="00E35F91">
        <w:rPr>
          <w:rFonts w:ascii="Segoe UI" w:hAnsi="Segoe UI" w:cs="Segoe UI"/>
          <w:color w:val="auto"/>
          <w:sz w:val="20"/>
        </w:rPr>
        <w:t>are</w:t>
      </w:r>
      <w:r w:rsidRPr="00E35F91">
        <w:rPr>
          <w:rFonts w:ascii="Segoe UI" w:hAnsi="Segoe UI" w:cs="Segoe UI"/>
          <w:color w:val="auto"/>
          <w:sz w:val="20"/>
        </w:rPr>
        <w:t xml:space="preserve"> adequately addressed by industry specific compliance, enforcement and education activities.  </w:t>
      </w:r>
      <w:r w:rsidR="003E4E96" w:rsidRPr="00E35F91">
        <w:rPr>
          <w:rFonts w:ascii="Segoe UI" w:hAnsi="Segoe UI" w:cs="Segoe UI"/>
          <w:color w:val="auto"/>
          <w:sz w:val="20"/>
        </w:rPr>
        <w:t>This approach enhances</w:t>
      </w:r>
      <w:r w:rsidRPr="00E35F91">
        <w:rPr>
          <w:rFonts w:ascii="Segoe UI" w:hAnsi="Segoe UI" w:cs="Segoe UI"/>
          <w:color w:val="auto"/>
          <w:sz w:val="20"/>
        </w:rPr>
        <w:t xml:space="preserve"> the position of consumers in those industries whi</w:t>
      </w:r>
      <w:r w:rsidR="003E4E96" w:rsidRPr="00E35F91">
        <w:rPr>
          <w:rFonts w:ascii="Segoe UI" w:hAnsi="Segoe UI" w:cs="Segoe UI"/>
          <w:color w:val="auto"/>
          <w:sz w:val="20"/>
        </w:rPr>
        <w:t>le</w:t>
      </w:r>
      <w:r w:rsidRPr="00E35F91">
        <w:rPr>
          <w:rFonts w:ascii="Segoe UI" w:hAnsi="Segoe UI" w:cs="Segoe UI"/>
          <w:color w:val="auto"/>
          <w:sz w:val="20"/>
        </w:rPr>
        <w:t xml:space="preserve"> avoiding additional compliance burden and cost on businesses in </w:t>
      </w:r>
      <w:r w:rsidRPr="00E35F91">
        <w:rPr>
          <w:rFonts w:ascii="Segoe UI" w:hAnsi="Segoe UI" w:cs="Segoe UI"/>
          <w:color w:val="auto"/>
          <w:sz w:val="20"/>
        </w:rPr>
        <w:lastRenderedPageBreak/>
        <w:t xml:space="preserve">industries where there are no apparent issues </w:t>
      </w:r>
      <w:r w:rsidR="003E4E96" w:rsidRPr="00E35F91">
        <w:rPr>
          <w:rFonts w:ascii="Segoe UI" w:hAnsi="Segoe UI" w:cs="Segoe UI"/>
          <w:color w:val="auto"/>
          <w:sz w:val="20"/>
        </w:rPr>
        <w:t>with</w:t>
      </w:r>
      <w:r w:rsidRPr="00E35F91">
        <w:rPr>
          <w:rFonts w:ascii="Segoe UI" w:hAnsi="Segoe UI" w:cs="Segoe UI"/>
          <w:color w:val="auto"/>
          <w:sz w:val="20"/>
        </w:rPr>
        <w:t xml:space="preserve"> current laws.</w:t>
      </w:r>
      <w:r w:rsidR="00E67612" w:rsidRPr="00E35F91">
        <w:rPr>
          <w:rFonts w:ascii="Segoe UI" w:hAnsi="Segoe UI" w:cs="Segoe UI"/>
          <w:color w:val="auto"/>
          <w:sz w:val="20"/>
        </w:rPr>
        <w:t xml:space="preserve">   Any additional costs may ultimately be passed on to consumers </w:t>
      </w:r>
      <w:r w:rsidR="00981D46" w:rsidRPr="00E35F91">
        <w:rPr>
          <w:rFonts w:ascii="Segoe UI" w:hAnsi="Segoe UI" w:cs="Segoe UI"/>
          <w:color w:val="auto"/>
          <w:sz w:val="20"/>
        </w:rPr>
        <w:t>as</w:t>
      </w:r>
      <w:r w:rsidR="00E67612" w:rsidRPr="00E35F91">
        <w:rPr>
          <w:rFonts w:ascii="Segoe UI" w:hAnsi="Segoe UI" w:cs="Segoe UI"/>
          <w:color w:val="auto"/>
          <w:sz w:val="20"/>
        </w:rPr>
        <w:t xml:space="preserve"> </w:t>
      </w:r>
      <w:r w:rsidR="00981D46" w:rsidRPr="00E35F91">
        <w:rPr>
          <w:rFonts w:ascii="Segoe UI" w:hAnsi="Segoe UI" w:cs="Segoe UI"/>
          <w:color w:val="auto"/>
          <w:sz w:val="20"/>
        </w:rPr>
        <w:t>price</w:t>
      </w:r>
      <w:r w:rsidR="00E67612" w:rsidRPr="00E35F91">
        <w:rPr>
          <w:rFonts w:ascii="Segoe UI" w:hAnsi="Segoe UI" w:cs="Segoe UI"/>
          <w:color w:val="auto"/>
          <w:sz w:val="20"/>
        </w:rPr>
        <w:t xml:space="preserve"> increases.</w:t>
      </w:r>
      <w:r w:rsidRPr="00E35F91">
        <w:rPr>
          <w:rFonts w:ascii="Segoe UI" w:hAnsi="Segoe UI" w:cs="Segoe UI"/>
          <w:color w:val="auto"/>
          <w:sz w:val="20"/>
        </w:rPr>
        <w:t xml:space="preserve"> </w:t>
      </w:r>
    </w:p>
    <w:p w:rsidR="004B2ABB" w:rsidRPr="00E35F91" w:rsidRDefault="002820A8"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Sub</w:t>
      </w:r>
      <w:r w:rsidR="007662E6" w:rsidRPr="00E35F91">
        <w:rPr>
          <w:rFonts w:ascii="Segoe UI" w:hAnsi="Segoe UI" w:cs="Segoe UI"/>
          <w:color w:val="auto"/>
          <w:sz w:val="20"/>
        </w:rPr>
        <w:t>s</w:t>
      </w:r>
      <w:r w:rsidRPr="00E35F91">
        <w:rPr>
          <w:rFonts w:ascii="Segoe UI" w:hAnsi="Segoe UI" w:cs="Segoe UI"/>
          <w:color w:val="auto"/>
          <w:sz w:val="20"/>
        </w:rPr>
        <w:t>ection 260(a) of the ACL provides that a failure to comply with a statutory guarantee is a major failure if “the goods would not have been acquired by a reasonable consumer fully acquainted with the nature and extent of the failure”.  This could mean minor failures that can be easily remedied amount to major failures, if it is accepted</w:t>
      </w:r>
      <w:r w:rsidR="003E4E96" w:rsidRPr="00E35F91">
        <w:rPr>
          <w:rFonts w:ascii="Segoe UI" w:hAnsi="Segoe UI" w:cs="Segoe UI"/>
          <w:color w:val="auto"/>
          <w:sz w:val="20"/>
        </w:rPr>
        <w:t xml:space="preserve"> </w:t>
      </w:r>
      <w:r w:rsidRPr="00E35F91">
        <w:rPr>
          <w:rFonts w:ascii="Segoe UI" w:hAnsi="Segoe UI" w:cs="Segoe UI"/>
          <w:color w:val="auto"/>
          <w:sz w:val="20"/>
        </w:rPr>
        <w:t xml:space="preserve">a “reasonable consumer” would not have acquired the goods if they knew they were faulty.  </w:t>
      </w:r>
      <w:r w:rsidR="003E4E96" w:rsidRPr="00E35F91">
        <w:rPr>
          <w:rFonts w:ascii="Segoe UI" w:hAnsi="Segoe UI" w:cs="Segoe UI"/>
          <w:color w:val="auto"/>
          <w:sz w:val="20"/>
        </w:rPr>
        <w:t>DSA submits s</w:t>
      </w:r>
      <w:r w:rsidRPr="00E35F91">
        <w:rPr>
          <w:rFonts w:ascii="Segoe UI" w:hAnsi="Segoe UI" w:cs="Segoe UI"/>
          <w:color w:val="auto"/>
          <w:sz w:val="20"/>
        </w:rPr>
        <w:t xml:space="preserve">ubsection 260(a) should be removed on this basis.  </w:t>
      </w:r>
      <w:r w:rsidR="003E4E96" w:rsidRPr="00E35F91">
        <w:rPr>
          <w:rFonts w:ascii="Segoe UI" w:hAnsi="Segoe UI" w:cs="Segoe UI"/>
          <w:color w:val="auto"/>
          <w:sz w:val="20"/>
        </w:rPr>
        <w:t>It also</w:t>
      </w:r>
      <w:r w:rsidRPr="00E35F91">
        <w:rPr>
          <w:rFonts w:ascii="Segoe UI" w:hAnsi="Segoe UI" w:cs="Segoe UI"/>
          <w:color w:val="auto"/>
          <w:sz w:val="20"/>
        </w:rPr>
        <w:t xml:space="preserve"> </w:t>
      </w:r>
      <w:r w:rsidR="003E4E96" w:rsidRPr="00E35F91">
        <w:rPr>
          <w:rFonts w:ascii="Segoe UI" w:hAnsi="Segoe UI" w:cs="Segoe UI"/>
          <w:color w:val="auto"/>
          <w:sz w:val="20"/>
        </w:rPr>
        <w:t>considers there</w:t>
      </w:r>
      <w:r w:rsidRPr="00E35F91">
        <w:rPr>
          <w:rFonts w:ascii="Segoe UI" w:hAnsi="Segoe UI" w:cs="Segoe UI"/>
          <w:color w:val="auto"/>
          <w:sz w:val="20"/>
        </w:rPr>
        <w:t xml:space="preserve"> is otherwise no case for generic law reform in this area.</w:t>
      </w:r>
    </w:p>
    <w:p w:rsidR="002820A8" w:rsidRPr="00E35F91" w:rsidRDefault="002820A8" w:rsidP="00DC6360">
      <w:pPr>
        <w:pStyle w:val="TableTextLeft-NumberingAppB"/>
        <w:numPr>
          <w:ilvl w:val="0"/>
          <w:numId w:val="0"/>
        </w:numPr>
        <w:tabs>
          <w:tab w:val="clear" w:pos="340"/>
          <w:tab w:val="left" w:pos="450"/>
        </w:tabs>
        <w:ind w:left="360" w:hanging="360"/>
        <w:jc w:val="both"/>
        <w:rPr>
          <w:rFonts w:ascii="Segoe UI" w:hAnsi="Segoe UI" w:cs="Segoe UI"/>
          <w:i/>
          <w:color w:val="002060"/>
        </w:rPr>
      </w:pPr>
      <w:r w:rsidRPr="00E35F91">
        <w:rPr>
          <w:rFonts w:ascii="Segoe UI" w:hAnsi="Segoe UI" w:cs="Segoe UI"/>
          <w:i/>
          <w:color w:val="002060"/>
        </w:rPr>
        <w:t>15.  What kinds of industry</w:t>
      </w:r>
      <w:r w:rsidRPr="00E35F91">
        <w:rPr>
          <w:rFonts w:ascii="Segoe UI" w:hAnsi="Segoe UI" w:cs="Segoe UI"/>
          <w:i/>
          <w:color w:val="002060"/>
        </w:rPr>
        <w:noBreakHyphen/>
        <w:t>specific compliance and education activities should be prioritised in the context of finite resources?</w:t>
      </w:r>
    </w:p>
    <w:p w:rsidR="002820A8" w:rsidRPr="00E35F91" w:rsidRDefault="002820A8" w:rsidP="00DC6360">
      <w:pPr>
        <w:pStyle w:val="TableTextLeft-NumberingAppB"/>
        <w:numPr>
          <w:ilvl w:val="0"/>
          <w:numId w:val="0"/>
        </w:numPr>
        <w:tabs>
          <w:tab w:val="clear" w:pos="340"/>
          <w:tab w:val="left" w:pos="450"/>
        </w:tabs>
        <w:ind w:left="360" w:hanging="360"/>
        <w:jc w:val="both"/>
        <w:rPr>
          <w:rFonts w:ascii="Segoe UI" w:hAnsi="Segoe UI" w:cs="Segoe UI"/>
          <w:i/>
          <w:color w:val="002060"/>
        </w:rPr>
      </w:pPr>
      <w:r w:rsidRPr="00E35F91">
        <w:rPr>
          <w:rFonts w:ascii="Segoe UI" w:hAnsi="Segoe UI" w:cs="Segoe UI"/>
          <w:i/>
          <w:color w:val="002060"/>
        </w:rPr>
        <w:t>16.   In what circumstances are repairs and replacement not considered appropriate remedies? Or put another way, are there circumstances that are inherently likely to involve, or point to, a ‘major’ failure? If so:</w:t>
      </w:r>
    </w:p>
    <w:p w:rsidR="002820A8" w:rsidRPr="00E35F91" w:rsidRDefault="002820A8" w:rsidP="00DC6360">
      <w:pPr>
        <w:pStyle w:val="TableTextLeft-NumberingAppB"/>
        <w:numPr>
          <w:ilvl w:val="0"/>
          <w:numId w:val="6"/>
        </w:numPr>
        <w:tabs>
          <w:tab w:val="clear" w:pos="340"/>
          <w:tab w:val="left" w:pos="450"/>
        </w:tabs>
        <w:jc w:val="both"/>
        <w:rPr>
          <w:rFonts w:ascii="Segoe UI" w:hAnsi="Segoe UI" w:cs="Segoe UI"/>
          <w:i/>
          <w:color w:val="002060"/>
        </w:rPr>
      </w:pPr>
      <w:r w:rsidRPr="00E35F91">
        <w:rPr>
          <w:rFonts w:ascii="Segoe UI" w:hAnsi="Segoe UI" w:cs="Segoe UI"/>
          <w:i/>
          <w:color w:val="002060"/>
        </w:rPr>
        <w:t>What are these circumstances, and should they be defined, or deemed, to be major failures? For example, should there be discretion for courts to determine the number of ‘non</w:t>
      </w:r>
      <w:r w:rsidRPr="00E35F91">
        <w:rPr>
          <w:rFonts w:ascii="Segoe UI" w:hAnsi="Segoe UI" w:cs="Segoe UI"/>
          <w:i/>
          <w:color w:val="002060"/>
        </w:rPr>
        <w:noBreakHyphen/>
        <w:t>major failures’ or type of safety defect that would trigger a ‘major failure’?</w:t>
      </w:r>
    </w:p>
    <w:p w:rsidR="002820A8" w:rsidRPr="00E35F91" w:rsidRDefault="002820A8" w:rsidP="00DC6360">
      <w:pPr>
        <w:pStyle w:val="TableTextLeft-NumberingAppB"/>
        <w:numPr>
          <w:ilvl w:val="0"/>
          <w:numId w:val="6"/>
        </w:numPr>
        <w:tabs>
          <w:tab w:val="clear" w:pos="340"/>
          <w:tab w:val="left" w:pos="450"/>
        </w:tabs>
        <w:jc w:val="both"/>
        <w:rPr>
          <w:rFonts w:ascii="Segoe UI" w:hAnsi="Segoe UI" w:cs="Segoe UI"/>
          <w:i/>
          <w:color w:val="44546A" w:themeColor="text2"/>
        </w:rPr>
      </w:pPr>
      <w:r w:rsidRPr="00E35F91">
        <w:rPr>
          <w:rFonts w:ascii="Segoe UI" w:hAnsi="Segoe UI" w:cs="Segoe UI"/>
          <w:i/>
          <w:color w:val="002060"/>
        </w:rPr>
        <w:t>Are there any relevant exceptions or qualifications?</w:t>
      </w:r>
    </w:p>
    <w:p w:rsidR="009871B1" w:rsidRPr="00E35F91" w:rsidRDefault="003E4E96"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DSA submits there</w:t>
      </w:r>
      <w:r w:rsidR="009871B1" w:rsidRPr="00E35F91">
        <w:rPr>
          <w:rFonts w:ascii="Segoe UI" w:hAnsi="Segoe UI" w:cs="Segoe UI"/>
          <w:color w:val="auto"/>
          <w:sz w:val="20"/>
        </w:rPr>
        <w:t xml:space="preserve"> is no need for further definition of what constitutes a major failure</w:t>
      </w:r>
      <w:r w:rsidR="004B2ABB" w:rsidRPr="00E35F91">
        <w:rPr>
          <w:rFonts w:ascii="Segoe UI" w:hAnsi="Segoe UI" w:cs="Segoe UI"/>
          <w:color w:val="auto"/>
          <w:sz w:val="20"/>
        </w:rPr>
        <w:t xml:space="preserve">.   </w:t>
      </w:r>
      <w:r w:rsidRPr="00E35F91">
        <w:rPr>
          <w:rFonts w:ascii="Segoe UI" w:hAnsi="Segoe UI" w:cs="Segoe UI"/>
          <w:color w:val="auto"/>
          <w:sz w:val="20"/>
        </w:rPr>
        <w:t xml:space="preserve">It </w:t>
      </w:r>
      <w:r w:rsidR="009871B1" w:rsidRPr="00E35F91">
        <w:rPr>
          <w:rFonts w:ascii="Segoe UI" w:hAnsi="Segoe UI" w:cs="Segoe UI"/>
          <w:color w:val="auto"/>
          <w:sz w:val="20"/>
        </w:rPr>
        <w:t xml:space="preserve">supports a flexible and </w:t>
      </w:r>
      <w:r w:rsidR="00B55EF2" w:rsidRPr="00E35F91">
        <w:rPr>
          <w:rFonts w:ascii="Segoe UI" w:hAnsi="Segoe UI" w:cs="Segoe UI"/>
          <w:color w:val="auto"/>
          <w:sz w:val="20"/>
        </w:rPr>
        <w:t>principle-based</w:t>
      </w:r>
      <w:r w:rsidR="009871B1" w:rsidRPr="00E35F91">
        <w:rPr>
          <w:rFonts w:ascii="Segoe UI" w:hAnsi="Segoe UI" w:cs="Segoe UI"/>
          <w:color w:val="auto"/>
          <w:sz w:val="20"/>
        </w:rPr>
        <w:t xml:space="preserve"> approach to regulation in this area.   The courts already have sufficient discretion to determine that a number of “non-major failures” or a safety defect amounts to a major failure, based on the circumstances of individual cases before them</w:t>
      </w:r>
      <w:r w:rsidR="0013108D" w:rsidRPr="00E35F91">
        <w:rPr>
          <w:rFonts w:ascii="Segoe UI" w:hAnsi="Segoe UI" w:cs="Segoe UI"/>
          <w:color w:val="auto"/>
          <w:sz w:val="20"/>
        </w:rPr>
        <w:t>.</w:t>
      </w:r>
      <w:r w:rsidR="0013108D" w:rsidRPr="00E35F91">
        <w:rPr>
          <w:rStyle w:val="FootnoteReference"/>
          <w:rFonts w:ascii="Segoe UI" w:hAnsi="Segoe UI" w:cs="Segoe UI"/>
          <w:color w:val="auto"/>
          <w:sz w:val="20"/>
        </w:rPr>
        <w:footnoteReference w:id="4"/>
      </w:r>
      <w:r w:rsidR="009871B1" w:rsidRPr="00E35F91">
        <w:rPr>
          <w:rFonts w:ascii="Segoe UI" w:hAnsi="Segoe UI" w:cs="Segoe UI"/>
          <w:color w:val="auto"/>
          <w:sz w:val="20"/>
        </w:rPr>
        <w:t xml:space="preserve"> </w:t>
      </w:r>
      <w:r w:rsidR="004B2ABB" w:rsidRPr="00E35F91">
        <w:rPr>
          <w:rFonts w:ascii="Segoe UI" w:hAnsi="Segoe UI" w:cs="Segoe UI"/>
          <w:color w:val="auto"/>
          <w:sz w:val="20"/>
        </w:rPr>
        <w:t xml:space="preserve">   </w:t>
      </w:r>
      <w:r w:rsidR="009871B1" w:rsidRPr="00E35F91">
        <w:rPr>
          <w:rFonts w:ascii="Segoe UI" w:hAnsi="Segoe UI" w:cs="Segoe UI"/>
          <w:color w:val="auto"/>
          <w:sz w:val="20"/>
        </w:rPr>
        <w:t xml:space="preserve">Setting </w:t>
      </w:r>
      <w:r w:rsidRPr="00E35F91">
        <w:rPr>
          <w:rFonts w:ascii="Segoe UI" w:hAnsi="Segoe UI" w:cs="Segoe UI"/>
          <w:color w:val="auto"/>
          <w:sz w:val="20"/>
        </w:rPr>
        <w:t>a</w:t>
      </w:r>
      <w:r w:rsidR="009871B1" w:rsidRPr="00E35F91">
        <w:rPr>
          <w:rFonts w:ascii="Segoe UI" w:hAnsi="Segoe UI" w:cs="Segoe UI"/>
          <w:color w:val="auto"/>
          <w:sz w:val="20"/>
        </w:rPr>
        <w:t xml:space="preserve"> number of repairs or period of time </w:t>
      </w:r>
      <w:r w:rsidR="00580041" w:rsidRPr="00E35F91">
        <w:rPr>
          <w:rFonts w:ascii="Segoe UI" w:hAnsi="Segoe UI" w:cs="Segoe UI"/>
          <w:color w:val="auto"/>
          <w:sz w:val="20"/>
        </w:rPr>
        <w:t>in</w:t>
      </w:r>
      <w:r w:rsidR="009871B1" w:rsidRPr="00E35F91">
        <w:rPr>
          <w:rFonts w:ascii="Segoe UI" w:hAnsi="Segoe UI" w:cs="Segoe UI"/>
          <w:color w:val="auto"/>
          <w:sz w:val="20"/>
        </w:rPr>
        <w:t xml:space="preserve"> which a series of repairs would constitute a major failure would be arbitrary, and could discourage businesses from carrying out straightforward repairs (which </w:t>
      </w:r>
      <w:r w:rsidR="004B2ABB" w:rsidRPr="00E35F91">
        <w:rPr>
          <w:rFonts w:ascii="Segoe UI" w:hAnsi="Segoe UI" w:cs="Segoe UI"/>
          <w:color w:val="auto"/>
          <w:sz w:val="20"/>
        </w:rPr>
        <w:t>could</w:t>
      </w:r>
      <w:r w:rsidR="009871B1" w:rsidRPr="00E35F91">
        <w:rPr>
          <w:rFonts w:ascii="Segoe UI" w:hAnsi="Segoe UI" w:cs="Segoe UI"/>
          <w:color w:val="auto"/>
          <w:sz w:val="20"/>
        </w:rPr>
        <w:t xml:space="preserve"> be due to the fault of the consumer)</w:t>
      </w:r>
      <w:r w:rsidR="00580041" w:rsidRPr="00E35F91">
        <w:rPr>
          <w:rFonts w:ascii="Segoe UI" w:hAnsi="Segoe UI" w:cs="Segoe UI"/>
          <w:color w:val="auto"/>
          <w:sz w:val="20"/>
        </w:rPr>
        <w:t xml:space="preserve"> or providing additional customer service</w:t>
      </w:r>
      <w:r w:rsidR="009871B1" w:rsidRPr="00E35F91">
        <w:rPr>
          <w:rFonts w:ascii="Segoe UI" w:hAnsi="Segoe UI" w:cs="Segoe UI"/>
          <w:color w:val="auto"/>
          <w:sz w:val="20"/>
        </w:rPr>
        <w:t>, for fear of triggering a major failure.</w:t>
      </w:r>
    </w:p>
    <w:p w:rsidR="009871B1" w:rsidRPr="00E35F91" w:rsidRDefault="009871B1" w:rsidP="00DC6360">
      <w:pPr>
        <w:pStyle w:val="TableTextLeft-NumberingAppB"/>
        <w:numPr>
          <w:ilvl w:val="0"/>
          <w:numId w:val="0"/>
        </w:numPr>
        <w:tabs>
          <w:tab w:val="clear" w:pos="340"/>
          <w:tab w:val="left" w:pos="450"/>
        </w:tabs>
        <w:ind w:left="360" w:hanging="360"/>
        <w:jc w:val="both"/>
        <w:rPr>
          <w:rFonts w:ascii="Segoe UI" w:hAnsi="Segoe UI" w:cs="Segoe UI"/>
          <w:i/>
          <w:color w:val="002060"/>
        </w:rPr>
      </w:pPr>
      <w:r w:rsidRPr="00E35F91">
        <w:rPr>
          <w:rFonts w:ascii="Segoe UI" w:hAnsi="Segoe UI" w:cs="Segoe UI"/>
          <w:i/>
          <w:color w:val="002060"/>
        </w:rPr>
        <w:t>17.   What are the costs associated with businesses providing refunds in circumstances that are above the costs associated with existing business policies on refunds? What impacts would this have on consumers?</w:t>
      </w:r>
    </w:p>
    <w:p w:rsidR="002820A8" w:rsidRPr="00E35F91" w:rsidRDefault="009871B1" w:rsidP="00DC6360">
      <w:pPr>
        <w:tabs>
          <w:tab w:val="left" w:pos="540"/>
        </w:tabs>
        <w:spacing w:before="0" w:after="160" w:line="259" w:lineRule="auto"/>
        <w:ind w:left="-90"/>
        <w:jc w:val="both"/>
        <w:rPr>
          <w:rFonts w:ascii="Segoe UI" w:hAnsi="Segoe UI" w:cs="Segoe UI"/>
          <w:color w:val="auto"/>
          <w:sz w:val="20"/>
        </w:rPr>
      </w:pPr>
      <w:r w:rsidRPr="00E35F91">
        <w:rPr>
          <w:rFonts w:ascii="Segoe UI" w:hAnsi="Segoe UI" w:cs="Segoe UI"/>
          <w:color w:val="auto"/>
          <w:sz w:val="20"/>
        </w:rPr>
        <w:t xml:space="preserve">This cost is difficult to quantify, and </w:t>
      </w:r>
      <w:r w:rsidR="00B84918" w:rsidRPr="00E35F91">
        <w:rPr>
          <w:rFonts w:ascii="Segoe UI" w:hAnsi="Segoe UI" w:cs="Segoe UI"/>
          <w:color w:val="auto"/>
          <w:sz w:val="20"/>
        </w:rPr>
        <w:t>with</w:t>
      </w:r>
      <w:r w:rsidR="003E4E96" w:rsidRPr="00E35F91">
        <w:rPr>
          <w:rFonts w:ascii="Segoe UI" w:hAnsi="Segoe UI" w:cs="Segoe UI"/>
          <w:color w:val="auto"/>
          <w:sz w:val="20"/>
        </w:rPr>
        <w:t xml:space="preserve"> individual refund </w:t>
      </w:r>
      <w:r w:rsidR="00EF704C" w:rsidRPr="00E35F91">
        <w:rPr>
          <w:rFonts w:ascii="Segoe UI" w:hAnsi="Segoe UI" w:cs="Segoe UI"/>
          <w:color w:val="auto"/>
          <w:sz w:val="20"/>
        </w:rPr>
        <w:t xml:space="preserve">policies </w:t>
      </w:r>
      <w:r w:rsidRPr="00E35F91">
        <w:rPr>
          <w:rFonts w:ascii="Segoe UI" w:hAnsi="Segoe UI" w:cs="Segoe UI"/>
          <w:color w:val="auto"/>
          <w:sz w:val="20"/>
        </w:rPr>
        <w:t xml:space="preserve">would </w:t>
      </w:r>
      <w:r w:rsidR="00EF704C" w:rsidRPr="00E35F91">
        <w:rPr>
          <w:rFonts w:ascii="Segoe UI" w:hAnsi="Segoe UI" w:cs="Segoe UI"/>
          <w:color w:val="auto"/>
          <w:sz w:val="20"/>
        </w:rPr>
        <w:t xml:space="preserve">obviously </w:t>
      </w:r>
      <w:r w:rsidRPr="00E35F91">
        <w:rPr>
          <w:rFonts w:ascii="Segoe UI" w:hAnsi="Segoe UI" w:cs="Segoe UI"/>
          <w:color w:val="auto"/>
          <w:sz w:val="20"/>
        </w:rPr>
        <w:t>vary between businesses</w:t>
      </w:r>
      <w:r w:rsidR="00EF704C" w:rsidRPr="00E35F91">
        <w:rPr>
          <w:rFonts w:ascii="Segoe UI" w:hAnsi="Segoe UI" w:cs="Segoe UI"/>
          <w:color w:val="auto"/>
          <w:sz w:val="20"/>
        </w:rPr>
        <w:t xml:space="preserve">.   </w:t>
      </w:r>
      <w:r w:rsidRPr="00E35F91">
        <w:rPr>
          <w:rFonts w:ascii="Segoe UI" w:hAnsi="Segoe UI" w:cs="Segoe UI"/>
          <w:color w:val="auto"/>
          <w:sz w:val="20"/>
        </w:rPr>
        <w:t xml:space="preserve">Some businesses choose to </w:t>
      </w:r>
      <w:r w:rsidR="00EF704C" w:rsidRPr="00E35F91">
        <w:rPr>
          <w:rFonts w:ascii="Segoe UI" w:hAnsi="Segoe UI" w:cs="Segoe UI"/>
          <w:color w:val="auto"/>
          <w:sz w:val="20"/>
        </w:rPr>
        <w:t>distinguish themselves with</w:t>
      </w:r>
      <w:r w:rsidRPr="00E35F91">
        <w:rPr>
          <w:rFonts w:ascii="Segoe UI" w:hAnsi="Segoe UI" w:cs="Segoe UI"/>
          <w:color w:val="auto"/>
          <w:sz w:val="20"/>
        </w:rPr>
        <w:t xml:space="preserve"> more generous refund</w:t>
      </w:r>
      <w:r w:rsidR="00580041" w:rsidRPr="00E35F91">
        <w:rPr>
          <w:rFonts w:ascii="Segoe UI" w:hAnsi="Segoe UI" w:cs="Segoe UI"/>
          <w:color w:val="auto"/>
          <w:sz w:val="20"/>
        </w:rPr>
        <w:t xml:space="preserve"> policies</w:t>
      </w:r>
      <w:r w:rsidRPr="00E35F91">
        <w:rPr>
          <w:rFonts w:ascii="Segoe UI" w:hAnsi="Segoe UI" w:cs="Segoe UI"/>
          <w:color w:val="auto"/>
          <w:sz w:val="20"/>
        </w:rPr>
        <w:t xml:space="preserve">, </w:t>
      </w:r>
      <w:r w:rsidR="00EF704C" w:rsidRPr="00E35F91">
        <w:rPr>
          <w:rFonts w:ascii="Segoe UI" w:hAnsi="Segoe UI" w:cs="Segoe UI"/>
          <w:color w:val="auto"/>
          <w:sz w:val="20"/>
        </w:rPr>
        <w:t>often factored into</w:t>
      </w:r>
      <w:r w:rsidRPr="00E35F91">
        <w:rPr>
          <w:rFonts w:ascii="Segoe UI" w:hAnsi="Segoe UI" w:cs="Segoe UI"/>
          <w:color w:val="auto"/>
          <w:sz w:val="20"/>
        </w:rPr>
        <w:t xml:space="preserve"> the</w:t>
      </w:r>
      <w:r w:rsidR="00757C31" w:rsidRPr="00E35F91">
        <w:rPr>
          <w:rFonts w:ascii="Segoe UI" w:hAnsi="Segoe UI" w:cs="Segoe UI"/>
          <w:color w:val="auto"/>
          <w:sz w:val="20"/>
        </w:rPr>
        <w:t>ir</w:t>
      </w:r>
      <w:r w:rsidRPr="00E35F91">
        <w:rPr>
          <w:rFonts w:ascii="Segoe UI" w:hAnsi="Segoe UI" w:cs="Segoe UI"/>
          <w:color w:val="auto"/>
          <w:sz w:val="20"/>
        </w:rPr>
        <w:t xml:space="preserve"> </w:t>
      </w:r>
      <w:r w:rsidR="00B84918" w:rsidRPr="00E35F91">
        <w:rPr>
          <w:rFonts w:ascii="Segoe UI" w:hAnsi="Segoe UI" w:cs="Segoe UI"/>
          <w:color w:val="auto"/>
          <w:sz w:val="20"/>
        </w:rPr>
        <w:t xml:space="preserve">pricing of </w:t>
      </w:r>
      <w:r w:rsidR="00757C31" w:rsidRPr="00E35F91">
        <w:rPr>
          <w:rFonts w:ascii="Segoe UI" w:hAnsi="Segoe UI" w:cs="Segoe UI"/>
          <w:color w:val="auto"/>
          <w:sz w:val="20"/>
        </w:rPr>
        <w:t>goods</w:t>
      </w:r>
      <w:r w:rsidRPr="00E35F91">
        <w:rPr>
          <w:rFonts w:ascii="Segoe UI" w:hAnsi="Segoe UI" w:cs="Segoe UI"/>
          <w:color w:val="auto"/>
          <w:sz w:val="20"/>
        </w:rPr>
        <w:t xml:space="preserve"> or </w:t>
      </w:r>
      <w:r w:rsidR="00B84918" w:rsidRPr="00E35F91">
        <w:rPr>
          <w:rFonts w:ascii="Segoe UI" w:hAnsi="Segoe UI" w:cs="Segoe UI"/>
          <w:color w:val="auto"/>
          <w:sz w:val="20"/>
        </w:rPr>
        <w:t>services.</w:t>
      </w:r>
      <w:r w:rsidRPr="00E35F91">
        <w:rPr>
          <w:rFonts w:ascii="Segoe UI" w:hAnsi="Segoe UI" w:cs="Segoe UI"/>
          <w:color w:val="auto"/>
          <w:sz w:val="20"/>
        </w:rPr>
        <w:t xml:space="preserve">   DSA </w:t>
      </w:r>
      <w:r w:rsidR="00EF704C" w:rsidRPr="00E35F91">
        <w:rPr>
          <w:rFonts w:ascii="Segoe UI" w:hAnsi="Segoe UI" w:cs="Segoe UI"/>
          <w:color w:val="auto"/>
          <w:sz w:val="20"/>
        </w:rPr>
        <w:t>believes</w:t>
      </w:r>
      <w:r w:rsidRPr="00E35F91">
        <w:rPr>
          <w:rFonts w:ascii="Segoe UI" w:hAnsi="Segoe UI" w:cs="Segoe UI"/>
          <w:color w:val="auto"/>
          <w:sz w:val="20"/>
        </w:rPr>
        <w:t xml:space="preserve"> it is not the role of the law to dictate </w:t>
      </w:r>
      <w:r w:rsidR="00EF704C" w:rsidRPr="00E35F91">
        <w:rPr>
          <w:rFonts w:ascii="Segoe UI" w:hAnsi="Segoe UI" w:cs="Segoe UI"/>
          <w:color w:val="auto"/>
          <w:sz w:val="20"/>
        </w:rPr>
        <w:t>if</w:t>
      </w:r>
      <w:r w:rsidRPr="00E35F91">
        <w:rPr>
          <w:rFonts w:ascii="Segoe UI" w:hAnsi="Segoe UI" w:cs="Segoe UI"/>
          <w:color w:val="auto"/>
          <w:sz w:val="20"/>
        </w:rPr>
        <w:t xml:space="preserve"> businesses should choose to provide refund policies over and above what the law requires.  </w:t>
      </w:r>
      <w:r w:rsidR="00EF704C" w:rsidRPr="00E35F91">
        <w:rPr>
          <w:rFonts w:ascii="Segoe UI" w:hAnsi="Segoe UI" w:cs="Segoe UI"/>
          <w:color w:val="auto"/>
          <w:sz w:val="20"/>
        </w:rPr>
        <w:t>Additional cost</w:t>
      </w:r>
      <w:r w:rsidRPr="00E35F91">
        <w:rPr>
          <w:rFonts w:ascii="Segoe UI" w:hAnsi="Segoe UI" w:cs="Segoe UI"/>
          <w:color w:val="auto"/>
          <w:sz w:val="20"/>
        </w:rPr>
        <w:t xml:space="preserve"> in most cases</w:t>
      </w:r>
      <w:r w:rsidR="00EF704C" w:rsidRPr="00E35F91">
        <w:rPr>
          <w:rFonts w:ascii="Segoe UI" w:hAnsi="Segoe UI" w:cs="Segoe UI"/>
          <w:color w:val="auto"/>
          <w:sz w:val="20"/>
        </w:rPr>
        <w:t xml:space="preserve"> </w:t>
      </w:r>
      <w:r w:rsidR="00D42524" w:rsidRPr="00E35F91">
        <w:rPr>
          <w:rFonts w:ascii="Segoe UI" w:hAnsi="Segoe UI" w:cs="Segoe UI"/>
          <w:color w:val="auto"/>
          <w:sz w:val="20"/>
        </w:rPr>
        <w:t>will be</w:t>
      </w:r>
      <w:r w:rsidRPr="00E35F91">
        <w:rPr>
          <w:rFonts w:ascii="Segoe UI" w:hAnsi="Segoe UI" w:cs="Segoe UI"/>
          <w:color w:val="auto"/>
          <w:sz w:val="20"/>
        </w:rPr>
        <w:t xml:space="preserve"> passed to consumers</w:t>
      </w:r>
      <w:r w:rsidR="00B84918" w:rsidRPr="00E35F91">
        <w:rPr>
          <w:rFonts w:ascii="Segoe UI" w:hAnsi="Segoe UI" w:cs="Segoe UI"/>
          <w:color w:val="auto"/>
          <w:sz w:val="20"/>
        </w:rPr>
        <w:t xml:space="preserve">, </w:t>
      </w:r>
      <w:r w:rsidRPr="00E35F91">
        <w:rPr>
          <w:rFonts w:ascii="Segoe UI" w:hAnsi="Segoe UI" w:cs="Segoe UI"/>
          <w:color w:val="auto"/>
          <w:sz w:val="20"/>
        </w:rPr>
        <w:t>so reforms in this area are likely to be neutral or counter-productiv</w:t>
      </w:r>
      <w:r w:rsidR="00EF704C" w:rsidRPr="00E35F91">
        <w:rPr>
          <w:rFonts w:ascii="Segoe UI" w:hAnsi="Segoe UI" w:cs="Segoe UI"/>
          <w:color w:val="auto"/>
          <w:sz w:val="20"/>
        </w:rPr>
        <w:t>e.</w:t>
      </w:r>
    </w:p>
    <w:p w:rsidR="009871B1" w:rsidRPr="00E35F91" w:rsidRDefault="009871B1" w:rsidP="00DC6360">
      <w:pPr>
        <w:pStyle w:val="TableTextLeft-NumberingAppB"/>
        <w:numPr>
          <w:ilvl w:val="0"/>
          <w:numId w:val="0"/>
        </w:numPr>
        <w:tabs>
          <w:tab w:val="clear" w:pos="340"/>
          <w:tab w:val="left" w:pos="450"/>
        </w:tabs>
        <w:ind w:left="360" w:hanging="360"/>
        <w:jc w:val="both"/>
        <w:rPr>
          <w:rFonts w:ascii="Segoe UI" w:hAnsi="Segoe UI" w:cs="Segoe UI"/>
          <w:i/>
          <w:color w:val="002060"/>
        </w:rPr>
      </w:pPr>
      <w:r w:rsidRPr="00E35F91">
        <w:rPr>
          <w:rFonts w:ascii="Segoe UI" w:hAnsi="Segoe UI" w:cs="Segoe UI"/>
          <w:i/>
          <w:color w:val="002060"/>
        </w:rPr>
        <w:t>18.   Are there any unintended consequences, risks or challenges that need to be considered? For example, how would they affect current business policies regarding refunds?</w:t>
      </w:r>
    </w:p>
    <w:p w:rsidR="00106DFE" w:rsidRDefault="00580041" w:rsidP="00DC6360">
      <w:pPr>
        <w:tabs>
          <w:tab w:val="left" w:pos="540"/>
        </w:tabs>
        <w:spacing w:before="0" w:after="160" w:line="259" w:lineRule="auto"/>
        <w:ind w:left="-90"/>
        <w:jc w:val="both"/>
        <w:rPr>
          <w:rFonts w:ascii="Segoe UI" w:hAnsi="Segoe UI" w:cs="Segoe UI"/>
          <w:color w:val="auto"/>
          <w:sz w:val="20"/>
        </w:rPr>
      </w:pPr>
      <w:r w:rsidRPr="00E35F91">
        <w:rPr>
          <w:rFonts w:ascii="Segoe UI" w:hAnsi="Segoe UI" w:cs="Segoe UI"/>
          <w:color w:val="auto"/>
          <w:sz w:val="20"/>
        </w:rPr>
        <w:t xml:space="preserve">DSA anticipates many members and other businesses </w:t>
      </w:r>
      <w:r w:rsidR="009871B1" w:rsidRPr="00E35F91">
        <w:rPr>
          <w:rFonts w:ascii="Segoe UI" w:hAnsi="Segoe UI" w:cs="Segoe UI"/>
          <w:color w:val="auto"/>
          <w:sz w:val="20"/>
        </w:rPr>
        <w:t xml:space="preserve">already having more generous refund policies will either continue them (with no </w:t>
      </w:r>
      <w:r w:rsidRPr="00E35F91">
        <w:rPr>
          <w:rFonts w:ascii="Segoe UI" w:hAnsi="Segoe UI" w:cs="Segoe UI"/>
          <w:color w:val="auto"/>
          <w:sz w:val="20"/>
        </w:rPr>
        <w:t xml:space="preserve">additional </w:t>
      </w:r>
      <w:r w:rsidR="009871B1" w:rsidRPr="00E35F91">
        <w:rPr>
          <w:rFonts w:ascii="Segoe UI" w:hAnsi="Segoe UI" w:cs="Segoe UI"/>
          <w:color w:val="auto"/>
          <w:sz w:val="20"/>
        </w:rPr>
        <w:t xml:space="preserve">net benefit to the consumer), or decide to pull back on those </w:t>
      </w:r>
      <w:r w:rsidR="009871B1" w:rsidRPr="00E35F91">
        <w:rPr>
          <w:rFonts w:ascii="Segoe UI" w:hAnsi="Segoe UI" w:cs="Segoe UI"/>
          <w:color w:val="auto"/>
          <w:sz w:val="20"/>
        </w:rPr>
        <w:lastRenderedPageBreak/>
        <w:t xml:space="preserve">policies if the laws concerning major failure are reformed in favour of the consumer.   This may be to the consumer’s cost </w:t>
      </w:r>
      <w:r w:rsidRPr="00E35F91">
        <w:rPr>
          <w:rFonts w:ascii="Segoe UI" w:hAnsi="Segoe UI" w:cs="Segoe UI"/>
          <w:color w:val="auto"/>
          <w:sz w:val="20"/>
        </w:rPr>
        <w:t>as</w:t>
      </w:r>
      <w:r w:rsidR="009871B1" w:rsidRPr="00E35F91">
        <w:rPr>
          <w:rFonts w:ascii="Segoe UI" w:hAnsi="Segoe UI" w:cs="Segoe UI"/>
          <w:color w:val="auto"/>
          <w:sz w:val="20"/>
        </w:rPr>
        <w:t xml:space="preserve"> additional compliance </w:t>
      </w:r>
      <w:r w:rsidRPr="00E35F91">
        <w:rPr>
          <w:rFonts w:ascii="Segoe UI" w:hAnsi="Segoe UI" w:cs="Segoe UI"/>
          <w:color w:val="auto"/>
          <w:sz w:val="20"/>
        </w:rPr>
        <w:t>costs</w:t>
      </w:r>
      <w:r w:rsidR="009871B1" w:rsidRPr="00E35F91">
        <w:rPr>
          <w:rFonts w:ascii="Segoe UI" w:hAnsi="Segoe UI" w:cs="Segoe UI"/>
          <w:color w:val="auto"/>
          <w:sz w:val="20"/>
        </w:rPr>
        <w:t xml:space="preserve"> are likely to be passed </w:t>
      </w:r>
      <w:r w:rsidR="00FB44B3" w:rsidRPr="00E35F91">
        <w:rPr>
          <w:rFonts w:ascii="Segoe UI" w:hAnsi="Segoe UI" w:cs="Segoe UI"/>
          <w:color w:val="auto"/>
          <w:sz w:val="20"/>
        </w:rPr>
        <w:t>on.</w:t>
      </w:r>
    </w:p>
    <w:p w:rsidR="00E35F91" w:rsidRDefault="00E35F91" w:rsidP="00DC6360">
      <w:pPr>
        <w:tabs>
          <w:tab w:val="left" w:pos="540"/>
        </w:tabs>
        <w:spacing w:before="0" w:after="160" w:line="259" w:lineRule="auto"/>
        <w:ind w:left="-90"/>
        <w:jc w:val="both"/>
        <w:rPr>
          <w:rFonts w:ascii="Segoe UI" w:hAnsi="Segoe UI" w:cs="Segoe UI"/>
          <w:color w:val="auto"/>
          <w:sz w:val="20"/>
        </w:rPr>
      </w:pPr>
    </w:p>
    <w:p w:rsidR="00E35F91" w:rsidRPr="00E35F91" w:rsidRDefault="00E35F91" w:rsidP="00DC6360">
      <w:pPr>
        <w:tabs>
          <w:tab w:val="left" w:pos="540"/>
        </w:tabs>
        <w:spacing w:before="0" w:after="160" w:line="259" w:lineRule="auto"/>
        <w:ind w:left="-90"/>
        <w:jc w:val="both"/>
        <w:rPr>
          <w:rFonts w:ascii="Segoe UI" w:hAnsi="Segoe UI" w:cs="Segoe UI"/>
          <w:color w:val="auto"/>
          <w:sz w:val="20"/>
        </w:rPr>
      </w:pPr>
    </w:p>
    <w:p w:rsidR="009871B1" w:rsidRPr="00E35F91" w:rsidRDefault="009871B1" w:rsidP="00DC6360">
      <w:pPr>
        <w:tabs>
          <w:tab w:val="left" w:pos="720"/>
        </w:tabs>
        <w:spacing w:before="0" w:after="160" w:line="259" w:lineRule="auto"/>
        <w:jc w:val="both"/>
        <w:rPr>
          <w:rFonts w:ascii="Segoe UI" w:hAnsi="Segoe UI" w:cs="Segoe UI"/>
          <w:b/>
          <w:color w:val="auto"/>
          <w:sz w:val="20"/>
        </w:rPr>
      </w:pPr>
      <w:r w:rsidRPr="00E35F91">
        <w:rPr>
          <w:rFonts w:ascii="Segoe UI" w:hAnsi="Segoe UI" w:cs="Segoe UI"/>
          <w:b/>
          <w:color w:val="auto"/>
          <w:sz w:val="20"/>
        </w:rPr>
        <w:t>2.1.6</w:t>
      </w:r>
      <w:r w:rsidRPr="00E35F91">
        <w:rPr>
          <w:rFonts w:ascii="Segoe UI" w:hAnsi="Segoe UI" w:cs="Segoe UI"/>
          <w:b/>
          <w:color w:val="auto"/>
          <w:sz w:val="20"/>
        </w:rPr>
        <w:tab/>
        <w:t>Disclosure of rights under the ACL</w:t>
      </w:r>
    </w:p>
    <w:p w:rsidR="009871B1" w:rsidRPr="00E35F91" w:rsidRDefault="009871B1" w:rsidP="00DC6360">
      <w:pPr>
        <w:pStyle w:val="TableTextLeft-NumberingAppB"/>
        <w:numPr>
          <w:ilvl w:val="0"/>
          <w:numId w:val="0"/>
        </w:numPr>
        <w:tabs>
          <w:tab w:val="clear" w:pos="340"/>
          <w:tab w:val="left" w:pos="450"/>
        </w:tabs>
        <w:ind w:left="360" w:hanging="360"/>
        <w:jc w:val="both"/>
        <w:rPr>
          <w:rFonts w:ascii="Segoe UI" w:hAnsi="Segoe UI" w:cs="Segoe UI"/>
          <w:i/>
          <w:color w:val="002060"/>
        </w:rPr>
      </w:pPr>
      <w:r w:rsidRPr="00E35F91">
        <w:rPr>
          <w:rFonts w:ascii="Segoe UI" w:hAnsi="Segoe UI" w:cs="Segoe UI"/>
          <w:i/>
          <w:color w:val="002060"/>
        </w:rPr>
        <w:t>19.   Is there a need to amend current requirements for the mandatory notice for warranties against defects? If so:</w:t>
      </w:r>
    </w:p>
    <w:p w:rsidR="009871B1" w:rsidRPr="00E35F91" w:rsidRDefault="009871B1" w:rsidP="00DC6360">
      <w:pPr>
        <w:pStyle w:val="TableTextLeft-NumberingAppB"/>
        <w:numPr>
          <w:ilvl w:val="0"/>
          <w:numId w:val="7"/>
        </w:numPr>
        <w:tabs>
          <w:tab w:val="clear" w:pos="340"/>
          <w:tab w:val="left" w:pos="450"/>
        </w:tabs>
        <w:jc w:val="both"/>
        <w:rPr>
          <w:rFonts w:ascii="Segoe UI" w:hAnsi="Segoe UI" w:cs="Segoe UI"/>
          <w:i/>
          <w:color w:val="002060"/>
        </w:rPr>
      </w:pPr>
      <w:r w:rsidRPr="00E35F91">
        <w:rPr>
          <w:rFonts w:ascii="Segoe UI" w:hAnsi="Segoe UI" w:cs="Segoe UI"/>
          <w:i/>
          <w:color w:val="002060"/>
        </w:rPr>
        <w:t>how should the text be revised to ensure that consumers are provided with a meaningful notice about the consumer guarantees?</w:t>
      </w:r>
    </w:p>
    <w:p w:rsidR="009871B1" w:rsidRPr="00E35F91" w:rsidRDefault="009871B1" w:rsidP="00DC6360">
      <w:pPr>
        <w:pStyle w:val="TableTextLeft-NumberingAppB"/>
        <w:numPr>
          <w:ilvl w:val="0"/>
          <w:numId w:val="7"/>
        </w:numPr>
        <w:tabs>
          <w:tab w:val="clear" w:pos="340"/>
          <w:tab w:val="left" w:pos="450"/>
        </w:tabs>
        <w:jc w:val="both"/>
        <w:rPr>
          <w:rFonts w:ascii="Segoe UI" w:hAnsi="Segoe UI" w:cs="Segoe UI"/>
          <w:i/>
          <w:color w:val="002060"/>
        </w:rPr>
      </w:pPr>
      <w:r w:rsidRPr="00E35F91">
        <w:rPr>
          <w:rFonts w:ascii="Segoe UI" w:hAnsi="Segoe UI" w:cs="Segoe UI"/>
          <w:i/>
          <w:color w:val="002060"/>
        </w:rPr>
        <w:t>would it, in practice, reduce ongoing costs for business or were they largely incurred when the requirement was introduced?</w:t>
      </w:r>
    </w:p>
    <w:p w:rsidR="009871B1" w:rsidRPr="00E35F91" w:rsidRDefault="009871B1" w:rsidP="00DC6360">
      <w:pPr>
        <w:pStyle w:val="TableTextLeft-NumberingAppB"/>
        <w:numPr>
          <w:ilvl w:val="0"/>
          <w:numId w:val="7"/>
        </w:numPr>
        <w:tabs>
          <w:tab w:val="clear" w:pos="340"/>
          <w:tab w:val="left" w:pos="450"/>
        </w:tabs>
        <w:jc w:val="both"/>
        <w:rPr>
          <w:rFonts w:ascii="Segoe UI" w:hAnsi="Segoe UI" w:cs="Segoe UI"/>
          <w:i/>
          <w:color w:val="002060"/>
        </w:rPr>
      </w:pPr>
      <w:r w:rsidRPr="00E35F91">
        <w:rPr>
          <w:rFonts w:ascii="Segoe UI" w:hAnsi="Segoe UI" w:cs="Segoe UI"/>
          <w:i/>
          <w:color w:val="002060"/>
        </w:rPr>
        <w:t>would it require any transitional arrangements and, if so, what are the preferred arrangements and why?</w:t>
      </w:r>
    </w:p>
    <w:p w:rsidR="009871B1" w:rsidRPr="00E35F91" w:rsidRDefault="009871B1"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 xml:space="preserve">If some form of mandatory text is to be retained, then it </w:t>
      </w:r>
      <w:r w:rsidR="00FB44B3" w:rsidRPr="00E35F91">
        <w:rPr>
          <w:rFonts w:ascii="Segoe UI" w:hAnsi="Segoe UI" w:cs="Segoe UI"/>
          <w:color w:val="auto"/>
          <w:sz w:val="20"/>
        </w:rPr>
        <w:t>should</w:t>
      </w:r>
      <w:r w:rsidRPr="00E35F91">
        <w:rPr>
          <w:rFonts w:ascii="Segoe UI" w:hAnsi="Segoe UI" w:cs="Segoe UI"/>
          <w:color w:val="auto"/>
          <w:sz w:val="20"/>
        </w:rPr>
        <w:t xml:space="preserve"> be shortened and streamlined to reflect the current law</w:t>
      </w:r>
      <w:r w:rsidR="001D38CE" w:rsidRPr="00E35F91">
        <w:rPr>
          <w:rFonts w:ascii="Segoe UI" w:hAnsi="Segoe UI" w:cs="Segoe UI"/>
          <w:color w:val="auto"/>
          <w:sz w:val="20"/>
        </w:rPr>
        <w:t>.</w:t>
      </w:r>
      <w:r w:rsidR="008A3FE4" w:rsidRPr="00E35F91">
        <w:rPr>
          <w:rStyle w:val="FootnoteReference"/>
          <w:rFonts w:ascii="Segoe UI" w:hAnsi="Segoe UI" w:cs="Segoe UI"/>
          <w:color w:val="auto"/>
          <w:sz w:val="20"/>
        </w:rPr>
        <w:footnoteReference w:id="5"/>
      </w:r>
      <w:r w:rsidR="001D38CE" w:rsidRPr="00E35F91">
        <w:rPr>
          <w:rFonts w:ascii="Segoe UI" w:hAnsi="Segoe UI" w:cs="Segoe UI"/>
          <w:color w:val="auto"/>
          <w:sz w:val="20"/>
        </w:rPr>
        <w:t xml:space="preserve">   </w:t>
      </w:r>
      <w:r w:rsidRPr="00E35F91">
        <w:rPr>
          <w:rFonts w:ascii="Segoe UI" w:hAnsi="Segoe UI" w:cs="Segoe UI"/>
          <w:color w:val="auto"/>
          <w:sz w:val="20"/>
        </w:rPr>
        <w:t xml:space="preserve">A statement to the effect that the document does not override the ACL, with a link to a website for further information </w:t>
      </w:r>
      <w:r w:rsidR="001214F9" w:rsidRPr="00E35F91">
        <w:rPr>
          <w:rFonts w:ascii="Segoe UI" w:hAnsi="Segoe UI" w:cs="Segoe UI"/>
          <w:color w:val="auto"/>
          <w:sz w:val="20"/>
        </w:rPr>
        <w:t>seems</w:t>
      </w:r>
      <w:r w:rsidRPr="00E35F91">
        <w:rPr>
          <w:rFonts w:ascii="Segoe UI" w:hAnsi="Segoe UI" w:cs="Segoe UI"/>
          <w:color w:val="auto"/>
          <w:sz w:val="20"/>
        </w:rPr>
        <w:t xml:space="preserve"> a more practical way of ensuring that consumers have access to information about their rights without imposing an unnecessary burden on businesses.</w:t>
      </w:r>
    </w:p>
    <w:p w:rsidR="009871B1" w:rsidRPr="00E35F91" w:rsidRDefault="009871B1"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Ongoing costs of any mandatory text requirement would largely be the same, but there would be additional cos</w:t>
      </w:r>
      <w:r w:rsidR="00D42524" w:rsidRPr="00E35F91">
        <w:rPr>
          <w:rFonts w:ascii="Segoe UI" w:hAnsi="Segoe UI" w:cs="Segoe UI"/>
          <w:color w:val="auto"/>
          <w:sz w:val="20"/>
        </w:rPr>
        <w:t>t in transitioning</w:t>
      </w:r>
      <w:r w:rsidRPr="00E35F91">
        <w:rPr>
          <w:rFonts w:ascii="Segoe UI" w:hAnsi="Segoe UI" w:cs="Segoe UI"/>
          <w:color w:val="auto"/>
          <w:sz w:val="20"/>
        </w:rPr>
        <w:t xml:space="preserve"> to a new form of mandatory text and/or website information.   An appropriate transition period would be required to give businesses sufficient time to implement any reform.</w:t>
      </w:r>
    </w:p>
    <w:p w:rsidR="009871B1" w:rsidRPr="00E35F91" w:rsidRDefault="009871B1" w:rsidP="00DC6360">
      <w:pPr>
        <w:pStyle w:val="TableTextLeft-NumberingAppB"/>
        <w:numPr>
          <w:ilvl w:val="0"/>
          <w:numId w:val="0"/>
        </w:numPr>
        <w:tabs>
          <w:tab w:val="clear" w:pos="340"/>
          <w:tab w:val="left" w:pos="450"/>
        </w:tabs>
        <w:ind w:left="360" w:hanging="360"/>
        <w:jc w:val="both"/>
        <w:rPr>
          <w:rFonts w:ascii="Segoe UI" w:hAnsi="Segoe UI" w:cs="Segoe UI"/>
          <w:i/>
          <w:color w:val="002060"/>
        </w:rPr>
      </w:pPr>
      <w:r w:rsidRPr="00E35F91">
        <w:rPr>
          <w:rFonts w:ascii="Segoe UI" w:hAnsi="Segoe UI" w:cs="Segoe UI"/>
          <w:i/>
          <w:color w:val="002060"/>
        </w:rPr>
        <w:t>20.   Are there other and more effective ways to notify consumers about their consumer guarantee rights? Could these potentially replace the mandatory text requirement?</w:t>
      </w:r>
    </w:p>
    <w:p w:rsidR="009871B1" w:rsidRPr="00E35F91" w:rsidRDefault="00D42524" w:rsidP="00DC6360">
      <w:pPr>
        <w:jc w:val="both"/>
        <w:rPr>
          <w:rFonts w:ascii="Segoe UI" w:hAnsi="Segoe UI" w:cs="Segoe UI"/>
          <w:color w:val="auto"/>
          <w:sz w:val="20"/>
        </w:rPr>
      </w:pPr>
      <w:r w:rsidRPr="00E35F91">
        <w:rPr>
          <w:rFonts w:ascii="Segoe UI" w:hAnsi="Segoe UI" w:cs="Segoe UI"/>
          <w:color w:val="auto"/>
          <w:sz w:val="20"/>
        </w:rPr>
        <w:t xml:space="preserve">CAANZ </w:t>
      </w:r>
      <w:r w:rsidR="00F411DF" w:rsidRPr="00E35F91">
        <w:rPr>
          <w:rFonts w:ascii="Segoe UI" w:hAnsi="Segoe UI" w:cs="Segoe UI"/>
          <w:color w:val="auto"/>
          <w:sz w:val="20"/>
        </w:rPr>
        <w:t xml:space="preserve">could </w:t>
      </w:r>
      <w:r w:rsidRPr="00E35F91">
        <w:rPr>
          <w:rFonts w:ascii="Segoe UI" w:hAnsi="Segoe UI" w:cs="Segoe UI"/>
          <w:color w:val="auto"/>
          <w:sz w:val="20"/>
        </w:rPr>
        <w:t>consider a</w:t>
      </w:r>
      <w:r w:rsidR="009871B1" w:rsidRPr="00E35F91">
        <w:rPr>
          <w:rFonts w:ascii="Segoe UI" w:hAnsi="Segoe UI" w:cs="Segoe UI"/>
          <w:color w:val="auto"/>
          <w:sz w:val="20"/>
        </w:rPr>
        <w:t xml:space="preserve"> more generic website statement for Australian businesses who supply goods or services to Australian consumers, as an alternative to point of </w:t>
      </w:r>
      <w:r w:rsidR="00E91F7C" w:rsidRPr="00E35F91">
        <w:rPr>
          <w:rFonts w:ascii="Segoe UI" w:hAnsi="Segoe UI" w:cs="Segoe UI"/>
          <w:color w:val="auto"/>
          <w:sz w:val="20"/>
        </w:rPr>
        <w:t>sale terms and conditions</w:t>
      </w:r>
      <w:r w:rsidR="00FB44B3" w:rsidRPr="00E35F91">
        <w:rPr>
          <w:rFonts w:ascii="Segoe UI" w:hAnsi="Segoe UI" w:cs="Segoe UI"/>
          <w:color w:val="auto"/>
          <w:sz w:val="20"/>
        </w:rPr>
        <w:t xml:space="preserve"> or on-pack statements.</w:t>
      </w:r>
    </w:p>
    <w:p w:rsidR="009871B1" w:rsidRPr="00E35F91" w:rsidRDefault="009871B1" w:rsidP="00DC6360">
      <w:pPr>
        <w:tabs>
          <w:tab w:val="left" w:pos="540"/>
        </w:tabs>
        <w:spacing w:before="0" w:after="160" w:line="259" w:lineRule="auto"/>
        <w:jc w:val="both"/>
        <w:rPr>
          <w:rFonts w:ascii="Segoe UI" w:hAnsi="Segoe UI" w:cs="Segoe UI"/>
          <w:b/>
          <w:color w:val="auto"/>
          <w:sz w:val="20"/>
        </w:rPr>
      </w:pPr>
      <w:r w:rsidRPr="00E35F91">
        <w:rPr>
          <w:rFonts w:ascii="Segoe UI" w:hAnsi="Segoe UI" w:cs="Segoe UI"/>
          <w:b/>
          <w:color w:val="auto"/>
          <w:sz w:val="20"/>
        </w:rPr>
        <w:t>2.</w:t>
      </w:r>
      <w:r w:rsidR="00C641B9" w:rsidRPr="00E35F91">
        <w:rPr>
          <w:rFonts w:ascii="Segoe UI" w:hAnsi="Segoe UI" w:cs="Segoe UI"/>
          <w:b/>
          <w:color w:val="auto"/>
          <w:sz w:val="20"/>
        </w:rPr>
        <w:t>2</w:t>
      </w:r>
      <w:r w:rsidRPr="00E35F91">
        <w:rPr>
          <w:rFonts w:ascii="Segoe UI" w:hAnsi="Segoe UI" w:cs="Segoe UI"/>
          <w:b/>
          <w:color w:val="auto"/>
          <w:sz w:val="20"/>
        </w:rPr>
        <w:tab/>
      </w:r>
      <w:r w:rsidR="00C641B9" w:rsidRPr="00E35F91">
        <w:rPr>
          <w:rFonts w:ascii="Segoe UI" w:hAnsi="Segoe UI" w:cs="Segoe UI"/>
          <w:b/>
          <w:color w:val="auto"/>
          <w:sz w:val="20"/>
        </w:rPr>
        <w:t>Product safety</w:t>
      </w:r>
    </w:p>
    <w:p w:rsidR="00C641B9" w:rsidRPr="00E35F91" w:rsidRDefault="00C641B9" w:rsidP="00DC6360">
      <w:pPr>
        <w:tabs>
          <w:tab w:val="left" w:pos="720"/>
        </w:tabs>
        <w:spacing w:before="0" w:after="160" w:line="259" w:lineRule="auto"/>
        <w:jc w:val="both"/>
        <w:rPr>
          <w:rFonts w:ascii="Segoe UI" w:hAnsi="Segoe UI" w:cs="Segoe UI"/>
          <w:b/>
          <w:color w:val="auto"/>
          <w:sz w:val="20"/>
        </w:rPr>
      </w:pPr>
      <w:r w:rsidRPr="00E35F91">
        <w:rPr>
          <w:rFonts w:ascii="Segoe UI" w:hAnsi="Segoe UI" w:cs="Segoe UI"/>
          <w:b/>
          <w:color w:val="auto"/>
          <w:sz w:val="20"/>
        </w:rPr>
        <w:t>2.2.3</w:t>
      </w:r>
      <w:r w:rsidRPr="00E35F91">
        <w:rPr>
          <w:rFonts w:ascii="Segoe UI" w:hAnsi="Segoe UI" w:cs="Segoe UI"/>
          <w:b/>
          <w:color w:val="auto"/>
          <w:sz w:val="20"/>
        </w:rPr>
        <w:tab/>
        <w:t>General safety provision</w:t>
      </w:r>
    </w:p>
    <w:p w:rsidR="00C641B9" w:rsidRPr="00E35F91" w:rsidRDefault="00C641B9" w:rsidP="00DC6360">
      <w:pPr>
        <w:pStyle w:val="TableTextLeft-NumberingAppB"/>
        <w:numPr>
          <w:ilvl w:val="0"/>
          <w:numId w:val="0"/>
        </w:numPr>
        <w:tabs>
          <w:tab w:val="clear" w:pos="340"/>
          <w:tab w:val="left" w:pos="450"/>
        </w:tabs>
        <w:ind w:left="360" w:hanging="360"/>
        <w:jc w:val="both"/>
        <w:rPr>
          <w:rFonts w:ascii="Segoe UI" w:hAnsi="Segoe UI" w:cs="Segoe UI"/>
          <w:i/>
          <w:color w:val="002060"/>
        </w:rPr>
      </w:pPr>
      <w:r w:rsidRPr="00E35F91">
        <w:rPr>
          <w:rFonts w:ascii="Segoe UI" w:hAnsi="Segoe UI" w:cs="Segoe UI"/>
          <w:i/>
          <w:color w:val="002060"/>
        </w:rPr>
        <w:t>25.   What are the key principles for an effective product safety regime?</w:t>
      </w:r>
    </w:p>
    <w:p w:rsidR="00C641B9" w:rsidRPr="00E35F91" w:rsidRDefault="00C641B9" w:rsidP="00DC6360">
      <w:pPr>
        <w:jc w:val="both"/>
        <w:rPr>
          <w:rFonts w:ascii="Segoe UI" w:hAnsi="Segoe UI" w:cs="Segoe UI"/>
          <w:color w:val="auto"/>
          <w:sz w:val="20"/>
        </w:rPr>
      </w:pPr>
      <w:r w:rsidRPr="00E35F91">
        <w:rPr>
          <w:rFonts w:ascii="Segoe UI" w:hAnsi="Segoe UI" w:cs="Segoe UI"/>
          <w:color w:val="auto"/>
          <w:sz w:val="20"/>
        </w:rPr>
        <w:t>DSA accepts the key principles for an effective product safety regime identified by CAANZ.</w:t>
      </w:r>
    </w:p>
    <w:p w:rsidR="00C641B9" w:rsidRPr="00E35F91" w:rsidRDefault="00C641B9" w:rsidP="00DC6360">
      <w:pPr>
        <w:pStyle w:val="TableTextLeft-NumberingAppB"/>
        <w:numPr>
          <w:ilvl w:val="0"/>
          <w:numId w:val="0"/>
        </w:numPr>
        <w:tabs>
          <w:tab w:val="clear" w:pos="340"/>
          <w:tab w:val="left" w:pos="450"/>
        </w:tabs>
        <w:ind w:left="360" w:hanging="360"/>
        <w:jc w:val="both"/>
        <w:rPr>
          <w:rFonts w:ascii="Segoe UI" w:hAnsi="Segoe UI" w:cs="Segoe UI"/>
          <w:i/>
          <w:color w:val="002060"/>
        </w:rPr>
      </w:pPr>
      <w:r w:rsidRPr="00E35F91">
        <w:rPr>
          <w:rFonts w:ascii="Segoe UI" w:hAnsi="Segoe UI" w:cs="Segoe UI"/>
          <w:i/>
          <w:color w:val="002060"/>
        </w:rPr>
        <w:t>26.   Would a general safety provision in the ACL better meet those principles? Why, or why not?</w:t>
      </w:r>
    </w:p>
    <w:p w:rsidR="00C641B9" w:rsidRPr="00E35F91" w:rsidRDefault="00C641B9" w:rsidP="00DC6360">
      <w:pPr>
        <w:jc w:val="both"/>
        <w:rPr>
          <w:rFonts w:ascii="Segoe UI" w:hAnsi="Segoe UI" w:cs="Segoe UI"/>
          <w:color w:val="auto"/>
          <w:sz w:val="20"/>
        </w:rPr>
      </w:pPr>
      <w:r w:rsidRPr="00E35F91">
        <w:rPr>
          <w:rFonts w:ascii="Segoe UI" w:hAnsi="Segoe UI" w:cs="Segoe UI"/>
          <w:color w:val="auto"/>
          <w:sz w:val="20"/>
        </w:rPr>
        <w:t xml:space="preserve">DSA takes the view that those key principles are already met by the current product safety regime in the ACL, without the need for a general safety provision </w:t>
      </w:r>
      <w:r w:rsidR="00FB44B3" w:rsidRPr="00E35F91">
        <w:rPr>
          <w:rFonts w:ascii="Segoe UI" w:hAnsi="Segoe UI" w:cs="Segoe UI"/>
          <w:color w:val="auto"/>
          <w:sz w:val="20"/>
        </w:rPr>
        <w:t>that</w:t>
      </w:r>
      <w:r w:rsidRPr="00E35F91">
        <w:rPr>
          <w:rFonts w:ascii="Segoe UI" w:hAnsi="Segoe UI" w:cs="Segoe UI"/>
          <w:color w:val="auto"/>
          <w:sz w:val="20"/>
        </w:rPr>
        <w:t xml:space="preserve"> would not meet those principles.</w:t>
      </w:r>
    </w:p>
    <w:p w:rsidR="00C641B9" w:rsidRPr="00E35F91" w:rsidRDefault="00C641B9" w:rsidP="00DC6360">
      <w:pPr>
        <w:pStyle w:val="TableTextLeft-NumberingAppB"/>
        <w:numPr>
          <w:ilvl w:val="0"/>
          <w:numId w:val="0"/>
        </w:numPr>
        <w:tabs>
          <w:tab w:val="clear" w:pos="340"/>
          <w:tab w:val="left" w:pos="450"/>
        </w:tabs>
        <w:ind w:left="360" w:hanging="360"/>
        <w:jc w:val="both"/>
        <w:rPr>
          <w:rFonts w:ascii="Segoe UI" w:hAnsi="Segoe UI" w:cs="Segoe UI"/>
          <w:i/>
          <w:color w:val="002060"/>
        </w:rPr>
      </w:pPr>
      <w:r w:rsidRPr="00E35F91">
        <w:rPr>
          <w:rFonts w:ascii="Segoe UI" w:hAnsi="Segoe UI" w:cs="Segoe UI"/>
          <w:i/>
          <w:color w:val="002060"/>
        </w:rPr>
        <w:lastRenderedPageBreak/>
        <w:t>27.  Would a general safety provision provide an effective and proportionate response to concerns raised   about the current regime?</w:t>
      </w:r>
    </w:p>
    <w:p w:rsidR="00C641B9" w:rsidRPr="00E35F91" w:rsidRDefault="00C641B9" w:rsidP="00DC6360">
      <w:pPr>
        <w:pStyle w:val="TableTextLeft-NumberingAppB"/>
        <w:numPr>
          <w:ilvl w:val="0"/>
          <w:numId w:val="8"/>
        </w:numPr>
        <w:tabs>
          <w:tab w:val="clear" w:pos="340"/>
          <w:tab w:val="left" w:pos="450"/>
        </w:tabs>
        <w:jc w:val="both"/>
        <w:rPr>
          <w:rFonts w:ascii="Segoe UI" w:hAnsi="Segoe UI" w:cs="Segoe UI"/>
          <w:i/>
          <w:color w:val="002060"/>
        </w:rPr>
      </w:pPr>
      <w:r w:rsidRPr="00E35F91">
        <w:rPr>
          <w:rFonts w:ascii="Segoe UI" w:hAnsi="Segoe UI" w:cs="Segoe UI"/>
          <w:i/>
          <w:color w:val="002060"/>
        </w:rPr>
        <w:t>What costs would it impose on business, for example, what processes or practices would need to be changed?</w:t>
      </w:r>
    </w:p>
    <w:p w:rsidR="00C641B9" w:rsidRPr="00E35F91" w:rsidRDefault="00C641B9" w:rsidP="00DC6360">
      <w:pPr>
        <w:pStyle w:val="TableTextLeft-NumberingAppB"/>
        <w:numPr>
          <w:ilvl w:val="0"/>
          <w:numId w:val="8"/>
        </w:numPr>
        <w:tabs>
          <w:tab w:val="clear" w:pos="340"/>
          <w:tab w:val="left" w:pos="450"/>
        </w:tabs>
        <w:jc w:val="both"/>
        <w:rPr>
          <w:rFonts w:ascii="Segoe UI" w:hAnsi="Segoe UI" w:cs="Segoe UI"/>
          <w:i/>
          <w:color w:val="002060"/>
        </w:rPr>
      </w:pPr>
      <w:r w:rsidRPr="00E35F91">
        <w:rPr>
          <w:rFonts w:ascii="Segoe UI" w:hAnsi="Segoe UI" w:cs="Segoe UI"/>
          <w:i/>
          <w:color w:val="002060"/>
        </w:rPr>
        <w:t>What impacts would it have on safety outcomes for consumers?</w:t>
      </w:r>
    </w:p>
    <w:p w:rsidR="00C641B9" w:rsidRPr="00E35F91" w:rsidRDefault="00C641B9" w:rsidP="00DC6360">
      <w:pPr>
        <w:pStyle w:val="TableTextLeft-NumberingAppB"/>
        <w:numPr>
          <w:ilvl w:val="0"/>
          <w:numId w:val="8"/>
        </w:numPr>
        <w:tabs>
          <w:tab w:val="clear" w:pos="340"/>
          <w:tab w:val="left" w:pos="450"/>
        </w:tabs>
        <w:jc w:val="both"/>
        <w:rPr>
          <w:rFonts w:ascii="Segoe UI" w:hAnsi="Segoe UI" w:cs="Segoe UI"/>
          <w:i/>
          <w:color w:val="002060"/>
        </w:rPr>
      </w:pPr>
      <w:r w:rsidRPr="00E35F91">
        <w:rPr>
          <w:rFonts w:ascii="Segoe UI" w:hAnsi="Segoe UI" w:cs="Segoe UI"/>
          <w:i/>
          <w:color w:val="002060"/>
        </w:rPr>
        <w:t>What, if any, transitional arrangements would be required for businesses?</w:t>
      </w:r>
    </w:p>
    <w:p w:rsidR="00C641B9" w:rsidRPr="00E35F91" w:rsidRDefault="00C641B9" w:rsidP="00DC6360">
      <w:pPr>
        <w:pStyle w:val="TableTextLeft-NumberingAppB"/>
        <w:numPr>
          <w:ilvl w:val="0"/>
          <w:numId w:val="8"/>
        </w:numPr>
        <w:tabs>
          <w:tab w:val="clear" w:pos="340"/>
          <w:tab w:val="left" w:pos="450"/>
        </w:tabs>
        <w:jc w:val="both"/>
        <w:rPr>
          <w:rFonts w:ascii="Segoe UI" w:hAnsi="Segoe UI" w:cs="Segoe UI"/>
          <w:i/>
          <w:color w:val="002060"/>
        </w:rPr>
      </w:pPr>
      <w:r w:rsidRPr="00E35F91">
        <w:rPr>
          <w:rFonts w:ascii="Segoe UI" w:hAnsi="Segoe UI" w:cs="Segoe UI"/>
          <w:i/>
          <w:color w:val="002060"/>
        </w:rPr>
        <w:t>Are there any unintended consequences of a general safety provision?</w:t>
      </w:r>
    </w:p>
    <w:p w:rsidR="00D967F5" w:rsidRPr="00E35F91" w:rsidRDefault="00F411DF"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A</w:t>
      </w:r>
      <w:r w:rsidR="00C641B9" w:rsidRPr="00E35F91">
        <w:rPr>
          <w:rFonts w:ascii="Segoe UI" w:hAnsi="Segoe UI" w:cs="Segoe UI"/>
          <w:color w:val="auto"/>
          <w:sz w:val="20"/>
        </w:rPr>
        <w:t xml:space="preserve"> general safety provision would not provide an effective and proportionate response to concerns raised about the current product </w:t>
      </w:r>
      <w:r w:rsidR="00FB44B3" w:rsidRPr="00E35F91">
        <w:rPr>
          <w:rFonts w:ascii="Segoe UI" w:hAnsi="Segoe UI" w:cs="Segoe UI"/>
          <w:color w:val="auto"/>
          <w:sz w:val="20"/>
        </w:rPr>
        <w:t xml:space="preserve">safety </w:t>
      </w:r>
      <w:r w:rsidR="00C641B9" w:rsidRPr="00E35F91">
        <w:rPr>
          <w:rFonts w:ascii="Segoe UI" w:hAnsi="Segoe UI" w:cs="Segoe UI"/>
          <w:color w:val="auto"/>
          <w:sz w:val="20"/>
        </w:rPr>
        <w:t>regime.  It would impose additional and unwarranted costs on businesses who already</w:t>
      </w:r>
      <w:r w:rsidRPr="00E35F91">
        <w:rPr>
          <w:rFonts w:ascii="Segoe UI" w:hAnsi="Segoe UI" w:cs="Segoe UI"/>
          <w:color w:val="auto"/>
          <w:sz w:val="20"/>
        </w:rPr>
        <w:t xml:space="preserve"> have quality control systems </w:t>
      </w:r>
      <w:r w:rsidR="00C641B9" w:rsidRPr="00E35F91">
        <w:rPr>
          <w:rFonts w:ascii="Segoe UI" w:hAnsi="Segoe UI" w:cs="Segoe UI"/>
          <w:color w:val="auto"/>
          <w:sz w:val="20"/>
        </w:rPr>
        <w:t xml:space="preserve">to </w:t>
      </w:r>
      <w:r w:rsidRPr="00E35F91">
        <w:rPr>
          <w:rFonts w:ascii="Segoe UI" w:hAnsi="Segoe UI" w:cs="Segoe UI"/>
          <w:color w:val="auto"/>
          <w:sz w:val="20"/>
        </w:rPr>
        <w:t xml:space="preserve">assure the safety of their products.  </w:t>
      </w:r>
    </w:p>
    <w:p w:rsidR="00C641B9" w:rsidRPr="00E35F91" w:rsidRDefault="00F411DF"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DSA considers a general provision would have no</w:t>
      </w:r>
      <w:r w:rsidR="00C641B9" w:rsidRPr="00E35F91">
        <w:rPr>
          <w:rFonts w:ascii="Segoe UI" w:hAnsi="Segoe UI" w:cs="Segoe UI"/>
          <w:color w:val="auto"/>
          <w:sz w:val="20"/>
        </w:rPr>
        <w:t xml:space="preserve"> positive impact on </w:t>
      </w:r>
      <w:r w:rsidRPr="00E35F91">
        <w:rPr>
          <w:rFonts w:ascii="Segoe UI" w:hAnsi="Segoe UI" w:cs="Segoe UI"/>
          <w:color w:val="auto"/>
          <w:sz w:val="20"/>
        </w:rPr>
        <w:t>consumer safety</w:t>
      </w:r>
      <w:r w:rsidR="00C641B9" w:rsidRPr="00E35F91">
        <w:rPr>
          <w:rFonts w:ascii="Segoe UI" w:hAnsi="Segoe UI" w:cs="Segoe UI"/>
          <w:color w:val="auto"/>
          <w:sz w:val="20"/>
        </w:rPr>
        <w:t>.</w:t>
      </w:r>
      <w:r w:rsidR="00D967F5" w:rsidRPr="00E35F91">
        <w:rPr>
          <w:rFonts w:ascii="Segoe UI" w:hAnsi="Segoe UI" w:cs="Segoe UI"/>
          <w:color w:val="auto"/>
          <w:sz w:val="20"/>
        </w:rPr>
        <w:t xml:space="preserve">   </w:t>
      </w:r>
      <w:r w:rsidR="00C641B9" w:rsidRPr="00E35F91">
        <w:rPr>
          <w:rFonts w:ascii="Segoe UI" w:hAnsi="Segoe UI" w:cs="Segoe UI"/>
          <w:color w:val="auto"/>
          <w:sz w:val="20"/>
        </w:rPr>
        <w:t xml:space="preserve">It is predicated on </w:t>
      </w:r>
      <w:r w:rsidR="00DC5E3B" w:rsidRPr="00E35F91">
        <w:rPr>
          <w:rFonts w:ascii="Segoe UI" w:hAnsi="Segoe UI" w:cs="Segoe UI"/>
          <w:color w:val="auto"/>
          <w:sz w:val="20"/>
        </w:rPr>
        <w:t>an</w:t>
      </w:r>
      <w:r w:rsidR="00C641B9" w:rsidRPr="00E35F91">
        <w:rPr>
          <w:rFonts w:ascii="Segoe UI" w:hAnsi="Segoe UI" w:cs="Segoe UI"/>
          <w:color w:val="auto"/>
          <w:sz w:val="20"/>
        </w:rPr>
        <w:t xml:space="preserve"> assumption that businesses who may presently choose to supply unsafe goods (or who fail to take the necessary quality control measures) w</w:t>
      </w:r>
      <w:r w:rsidR="00E91F7C" w:rsidRPr="00E35F91">
        <w:rPr>
          <w:rFonts w:ascii="Segoe UI" w:hAnsi="Segoe UI" w:cs="Segoe UI"/>
          <w:color w:val="auto"/>
          <w:sz w:val="20"/>
        </w:rPr>
        <w:t>ould</w:t>
      </w:r>
      <w:r w:rsidR="00C641B9" w:rsidRPr="00E35F91">
        <w:rPr>
          <w:rFonts w:ascii="Segoe UI" w:hAnsi="Segoe UI" w:cs="Segoe UI"/>
          <w:color w:val="auto"/>
          <w:sz w:val="20"/>
        </w:rPr>
        <w:t xml:space="preserve"> change their practices in order to comply with the new regime.</w:t>
      </w:r>
    </w:p>
    <w:p w:rsidR="00C641B9" w:rsidRPr="00E35F91" w:rsidRDefault="00D967F5"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Whether</w:t>
      </w:r>
      <w:r w:rsidR="00C641B9" w:rsidRPr="00E35F91">
        <w:rPr>
          <w:rFonts w:ascii="Segoe UI" w:hAnsi="Segoe UI" w:cs="Segoe UI"/>
          <w:color w:val="auto"/>
          <w:sz w:val="20"/>
        </w:rPr>
        <w:t xml:space="preserve"> a product is “safe” or “unsafe” will always have an element of subjectivity, regardless of </w:t>
      </w:r>
      <w:r w:rsidRPr="00E35F91">
        <w:rPr>
          <w:rFonts w:ascii="Segoe UI" w:hAnsi="Segoe UI" w:cs="Segoe UI"/>
          <w:color w:val="auto"/>
          <w:sz w:val="20"/>
        </w:rPr>
        <w:t>the</w:t>
      </w:r>
      <w:r w:rsidR="00C641B9" w:rsidRPr="00E35F91">
        <w:rPr>
          <w:rFonts w:ascii="Segoe UI" w:hAnsi="Segoe UI" w:cs="Segoe UI"/>
          <w:color w:val="auto"/>
          <w:sz w:val="20"/>
        </w:rPr>
        <w:t xml:space="preserve"> definition </w:t>
      </w:r>
      <w:r w:rsidRPr="00E35F91">
        <w:rPr>
          <w:rFonts w:ascii="Segoe UI" w:hAnsi="Segoe UI" w:cs="Segoe UI"/>
          <w:color w:val="auto"/>
          <w:sz w:val="20"/>
        </w:rPr>
        <w:t>given</w:t>
      </w:r>
      <w:r w:rsidR="00FB44B3" w:rsidRPr="00E35F91">
        <w:rPr>
          <w:rFonts w:ascii="Segoe UI" w:hAnsi="Segoe UI" w:cs="Segoe UI"/>
          <w:color w:val="auto"/>
          <w:sz w:val="20"/>
        </w:rPr>
        <w:t xml:space="preserve">.   </w:t>
      </w:r>
      <w:r w:rsidR="00C641B9" w:rsidRPr="00E35F91">
        <w:rPr>
          <w:rFonts w:ascii="Segoe UI" w:hAnsi="Segoe UI" w:cs="Segoe UI"/>
          <w:color w:val="auto"/>
          <w:sz w:val="20"/>
        </w:rPr>
        <w:t>It will not serve any purpose of “clarifying” the law.  The proposed “due diligence” defences will also create additional uncertainty for enforcement of any new regime.</w:t>
      </w:r>
      <w:r w:rsidR="00B1011D" w:rsidRPr="00E35F91">
        <w:rPr>
          <w:rFonts w:ascii="Segoe UI" w:hAnsi="Segoe UI" w:cs="Segoe UI"/>
          <w:color w:val="auto"/>
          <w:sz w:val="20"/>
        </w:rPr>
        <w:t xml:space="preserve">   </w:t>
      </w:r>
      <w:r w:rsidR="00C641B9" w:rsidRPr="00E35F91">
        <w:rPr>
          <w:rFonts w:ascii="Segoe UI" w:hAnsi="Segoe UI" w:cs="Segoe UI"/>
          <w:color w:val="auto"/>
          <w:sz w:val="20"/>
        </w:rPr>
        <w:t xml:space="preserve">It will impose unnecessary compliance </w:t>
      </w:r>
      <w:r w:rsidR="00B1011D" w:rsidRPr="00E35F91">
        <w:rPr>
          <w:rFonts w:ascii="Segoe UI" w:hAnsi="Segoe UI" w:cs="Segoe UI"/>
          <w:color w:val="auto"/>
          <w:sz w:val="20"/>
        </w:rPr>
        <w:t>cost</w:t>
      </w:r>
      <w:r w:rsidR="00C641B9" w:rsidRPr="00E35F91">
        <w:rPr>
          <w:rFonts w:ascii="Segoe UI" w:hAnsi="Segoe UI" w:cs="Segoe UI"/>
          <w:color w:val="auto"/>
          <w:sz w:val="20"/>
        </w:rPr>
        <w:t xml:space="preserve"> on businesses who already have safety and quality control systems and processes in place to ensure their products are </w:t>
      </w:r>
      <w:r w:rsidR="00B1011D" w:rsidRPr="00E35F91">
        <w:rPr>
          <w:rFonts w:ascii="Segoe UI" w:hAnsi="Segoe UI" w:cs="Segoe UI"/>
          <w:color w:val="auto"/>
          <w:sz w:val="20"/>
        </w:rPr>
        <w:t>safe.  It follows without any</w:t>
      </w:r>
      <w:r w:rsidR="00C641B9" w:rsidRPr="00E35F91">
        <w:rPr>
          <w:rFonts w:ascii="Segoe UI" w:hAnsi="Segoe UI" w:cs="Segoe UI"/>
          <w:color w:val="auto"/>
          <w:sz w:val="20"/>
        </w:rPr>
        <w:t xml:space="preserve"> net benefit to consumers.  Those businesses are already motivated to ensure their products are safe not only because of existing law, but also the need to maintain their reputation in the marketplace.</w:t>
      </w:r>
    </w:p>
    <w:p w:rsidR="00C641B9" w:rsidRPr="00E35F91" w:rsidRDefault="00B1011D"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 xml:space="preserve">DSA considers it incorrect </w:t>
      </w:r>
      <w:r w:rsidR="00C641B9" w:rsidRPr="00E35F91">
        <w:rPr>
          <w:rFonts w:ascii="Segoe UI" w:hAnsi="Segoe UI" w:cs="Segoe UI"/>
          <w:color w:val="auto"/>
          <w:sz w:val="20"/>
        </w:rPr>
        <w:t>to assume a new regime will further eradicate the supply of unsafe goods into Australia.  In the globa</w:t>
      </w:r>
      <w:r w:rsidRPr="00E35F91">
        <w:rPr>
          <w:rFonts w:ascii="Segoe UI" w:hAnsi="Segoe UI" w:cs="Segoe UI"/>
          <w:color w:val="auto"/>
          <w:sz w:val="20"/>
        </w:rPr>
        <w:t>l marketplace</w:t>
      </w:r>
      <w:r w:rsidR="00C641B9" w:rsidRPr="00E35F91">
        <w:rPr>
          <w:rFonts w:ascii="Segoe UI" w:hAnsi="Segoe UI" w:cs="Segoe UI"/>
          <w:color w:val="auto"/>
          <w:sz w:val="20"/>
        </w:rPr>
        <w:t xml:space="preserve"> </w:t>
      </w:r>
      <w:r w:rsidR="00E35F91">
        <w:rPr>
          <w:rFonts w:ascii="Segoe UI" w:hAnsi="Segoe UI" w:cs="Segoe UI"/>
          <w:color w:val="auto"/>
          <w:sz w:val="20"/>
        </w:rPr>
        <w:t>consumer</w:t>
      </w:r>
      <w:r w:rsidR="00AD07F7">
        <w:rPr>
          <w:rFonts w:ascii="Segoe UI" w:hAnsi="Segoe UI" w:cs="Segoe UI"/>
          <w:color w:val="auto"/>
          <w:sz w:val="20"/>
        </w:rPr>
        <w:t>s</w:t>
      </w:r>
      <w:r w:rsidR="00C641B9" w:rsidRPr="00E35F91">
        <w:rPr>
          <w:rFonts w:ascii="Segoe UI" w:hAnsi="Segoe UI" w:cs="Segoe UI"/>
          <w:color w:val="auto"/>
          <w:sz w:val="20"/>
        </w:rPr>
        <w:t xml:space="preserve"> will source products directly from overseas suppliers if they can</w:t>
      </w:r>
      <w:r w:rsidRPr="00E35F91">
        <w:rPr>
          <w:rFonts w:ascii="Segoe UI" w:hAnsi="Segoe UI" w:cs="Segoe UI"/>
          <w:color w:val="auto"/>
          <w:sz w:val="20"/>
        </w:rPr>
        <w:t xml:space="preserve">’t </w:t>
      </w:r>
      <w:r w:rsidR="00C641B9" w:rsidRPr="00E35F91">
        <w:rPr>
          <w:rFonts w:ascii="Segoe UI" w:hAnsi="Segoe UI" w:cs="Segoe UI"/>
          <w:color w:val="auto"/>
          <w:sz w:val="20"/>
        </w:rPr>
        <w:t>source them locally, regardless of whether those suppliers are subject to</w:t>
      </w:r>
      <w:r w:rsidRPr="00E35F91">
        <w:rPr>
          <w:rFonts w:ascii="Segoe UI" w:hAnsi="Segoe UI" w:cs="Segoe UI"/>
          <w:color w:val="auto"/>
          <w:sz w:val="20"/>
        </w:rPr>
        <w:t xml:space="preserve"> any new</w:t>
      </w:r>
      <w:r w:rsidR="00C641B9" w:rsidRPr="00E35F91">
        <w:rPr>
          <w:rFonts w:ascii="Segoe UI" w:hAnsi="Segoe UI" w:cs="Segoe UI"/>
          <w:color w:val="auto"/>
          <w:sz w:val="20"/>
        </w:rPr>
        <w:t xml:space="preserve"> regime.  Local businesses subject to the additional compliance burden and cost will be at a competitive disadvantage to overseas suppliers selling the same products where there is pricing tension.</w:t>
      </w:r>
    </w:p>
    <w:p w:rsidR="00C641B9" w:rsidRPr="00E35F91" w:rsidRDefault="00C641B9"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 xml:space="preserve">For </w:t>
      </w:r>
      <w:r w:rsidR="00E91F7C" w:rsidRPr="00E35F91">
        <w:rPr>
          <w:rFonts w:ascii="Segoe UI" w:hAnsi="Segoe UI" w:cs="Segoe UI"/>
          <w:color w:val="auto"/>
          <w:sz w:val="20"/>
        </w:rPr>
        <w:t>DSA members</w:t>
      </w:r>
      <w:r w:rsidRPr="00E35F91">
        <w:rPr>
          <w:rFonts w:ascii="Segoe UI" w:hAnsi="Segoe UI" w:cs="Segoe UI"/>
          <w:color w:val="auto"/>
          <w:sz w:val="20"/>
        </w:rPr>
        <w:t xml:space="preserve">, this would impose </w:t>
      </w:r>
      <w:r w:rsidR="00FB44B3" w:rsidRPr="00E35F91">
        <w:rPr>
          <w:rFonts w:ascii="Segoe UI" w:hAnsi="Segoe UI" w:cs="Segoe UI"/>
          <w:color w:val="auto"/>
          <w:sz w:val="20"/>
        </w:rPr>
        <w:t>a</w:t>
      </w:r>
      <w:r w:rsidRPr="00E35F91">
        <w:rPr>
          <w:rFonts w:ascii="Segoe UI" w:hAnsi="Segoe UI" w:cs="Segoe UI"/>
          <w:color w:val="auto"/>
          <w:sz w:val="20"/>
        </w:rPr>
        <w:t xml:space="preserve"> heavy onus on</w:t>
      </w:r>
      <w:r w:rsidR="00B1011D" w:rsidRPr="00E35F91">
        <w:rPr>
          <w:rFonts w:ascii="Segoe UI" w:hAnsi="Segoe UI" w:cs="Segoe UI"/>
          <w:color w:val="auto"/>
          <w:sz w:val="20"/>
        </w:rPr>
        <w:t xml:space="preserve"> independent distributors </w:t>
      </w:r>
      <w:r w:rsidRPr="00E35F91">
        <w:rPr>
          <w:rFonts w:ascii="Segoe UI" w:hAnsi="Segoe UI" w:cs="Segoe UI"/>
          <w:color w:val="auto"/>
          <w:sz w:val="20"/>
        </w:rPr>
        <w:t xml:space="preserve">who buy and resell products on their own account, but who do not manufacture or have any direct relationship with, or capacity to influence the manufacturer’s quality control or product safety standards.  The same would also apply to many </w:t>
      </w:r>
      <w:r w:rsidR="00E91F7C" w:rsidRPr="00E35F91">
        <w:rPr>
          <w:rFonts w:ascii="Segoe UI" w:hAnsi="Segoe UI" w:cs="Segoe UI"/>
          <w:color w:val="auto"/>
          <w:sz w:val="20"/>
        </w:rPr>
        <w:t>DSA members</w:t>
      </w:r>
      <w:r w:rsidRPr="00E35F91">
        <w:rPr>
          <w:rFonts w:ascii="Segoe UI" w:hAnsi="Segoe UI" w:cs="Segoe UI"/>
          <w:color w:val="auto"/>
          <w:sz w:val="20"/>
        </w:rPr>
        <w:t xml:space="preserve"> </w:t>
      </w:r>
      <w:r w:rsidR="00B1011D" w:rsidRPr="00E35F91">
        <w:rPr>
          <w:rFonts w:ascii="Segoe UI" w:hAnsi="Segoe UI" w:cs="Segoe UI"/>
          <w:color w:val="auto"/>
          <w:sz w:val="20"/>
        </w:rPr>
        <w:t>that don’t man</w:t>
      </w:r>
      <w:r w:rsidRPr="00E35F91">
        <w:rPr>
          <w:rFonts w:ascii="Segoe UI" w:hAnsi="Segoe UI" w:cs="Segoe UI"/>
          <w:color w:val="auto"/>
          <w:sz w:val="20"/>
        </w:rPr>
        <w:t>ufacture goods themselves.</w:t>
      </w:r>
    </w:p>
    <w:p w:rsidR="00C641B9" w:rsidRPr="00E35F91" w:rsidRDefault="00C641B9"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 xml:space="preserve">If a new regime </w:t>
      </w:r>
      <w:r w:rsidR="00B1011D" w:rsidRPr="00E35F91">
        <w:rPr>
          <w:rFonts w:ascii="Segoe UI" w:hAnsi="Segoe UI" w:cs="Segoe UI"/>
          <w:color w:val="auto"/>
          <w:sz w:val="20"/>
        </w:rPr>
        <w:t>was</w:t>
      </w:r>
      <w:r w:rsidRPr="00E35F91">
        <w:rPr>
          <w:rFonts w:ascii="Segoe UI" w:hAnsi="Segoe UI" w:cs="Segoe UI"/>
          <w:color w:val="auto"/>
          <w:sz w:val="20"/>
        </w:rPr>
        <w:t xml:space="preserve"> introduced, it should be limited to manufacturers or producers of consumer products (and not importers as deemed manufacturers).</w:t>
      </w:r>
      <w:r w:rsidR="00B1011D" w:rsidRPr="00E35F91">
        <w:rPr>
          <w:rFonts w:ascii="Segoe UI" w:hAnsi="Segoe UI" w:cs="Segoe UI"/>
          <w:color w:val="auto"/>
          <w:sz w:val="20"/>
        </w:rPr>
        <w:t xml:space="preserve">   DSA notes </w:t>
      </w:r>
      <w:r w:rsidR="00DC5E3B" w:rsidRPr="00E35F91">
        <w:rPr>
          <w:rFonts w:ascii="Segoe UI" w:hAnsi="Segoe UI" w:cs="Segoe UI"/>
          <w:color w:val="auto"/>
          <w:sz w:val="20"/>
        </w:rPr>
        <w:t>a</w:t>
      </w:r>
      <w:r w:rsidR="00B1011D" w:rsidRPr="00E35F91">
        <w:rPr>
          <w:rFonts w:ascii="Segoe UI" w:hAnsi="Segoe UI" w:cs="Segoe UI"/>
          <w:color w:val="auto"/>
          <w:sz w:val="20"/>
        </w:rPr>
        <w:t xml:space="preserve"> Productivity Commission finding that overall benefits of a general safety provision are likely to be limited.</w:t>
      </w:r>
    </w:p>
    <w:p w:rsidR="00C641B9" w:rsidRPr="00E35F91" w:rsidRDefault="00C641B9" w:rsidP="00DC6360">
      <w:pPr>
        <w:tabs>
          <w:tab w:val="left" w:pos="720"/>
        </w:tabs>
        <w:spacing w:before="0" w:after="160" w:line="259" w:lineRule="auto"/>
        <w:jc w:val="both"/>
        <w:rPr>
          <w:rFonts w:ascii="Segoe UI" w:hAnsi="Segoe UI" w:cs="Segoe UI"/>
          <w:b/>
          <w:color w:val="auto"/>
          <w:sz w:val="20"/>
        </w:rPr>
      </w:pPr>
      <w:r w:rsidRPr="00E35F91">
        <w:rPr>
          <w:rFonts w:ascii="Segoe UI" w:hAnsi="Segoe UI" w:cs="Segoe UI"/>
          <w:b/>
          <w:color w:val="auto"/>
          <w:sz w:val="20"/>
        </w:rPr>
        <w:t>2.2.8</w:t>
      </w:r>
      <w:r w:rsidRPr="00E35F91">
        <w:rPr>
          <w:rFonts w:ascii="Segoe UI" w:hAnsi="Segoe UI" w:cs="Segoe UI"/>
          <w:b/>
          <w:color w:val="auto"/>
          <w:sz w:val="20"/>
        </w:rPr>
        <w:tab/>
        <w:t>Performance-based approach to compliance with standards</w:t>
      </w:r>
    </w:p>
    <w:p w:rsidR="00C641B9" w:rsidRPr="00E35F91" w:rsidRDefault="00C641B9" w:rsidP="00DC6360">
      <w:pPr>
        <w:pStyle w:val="TableTextLeft-NumberingAppB"/>
        <w:numPr>
          <w:ilvl w:val="0"/>
          <w:numId w:val="0"/>
        </w:numPr>
        <w:tabs>
          <w:tab w:val="clear" w:pos="340"/>
          <w:tab w:val="left" w:pos="450"/>
        </w:tabs>
        <w:ind w:left="360" w:hanging="360"/>
        <w:jc w:val="both"/>
        <w:rPr>
          <w:rFonts w:ascii="Segoe UI" w:hAnsi="Segoe UI" w:cs="Segoe UI"/>
          <w:i/>
          <w:color w:val="002060"/>
        </w:rPr>
      </w:pPr>
      <w:r w:rsidRPr="00E35F91">
        <w:rPr>
          <w:rFonts w:ascii="Segoe UI" w:hAnsi="Segoe UI" w:cs="Segoe UI"/>
          <w:i/>
          <w:color w:val="002060"/>
        </w:rPr>
        <w:t>29.   Should a ‘performance</w:t>
      </w:r>
      <w:r w:rsidRPr="00E35F91">
        <w:rPr>
          <w:rFonts w:ascii="Segoe UI" w:hAnsi="Segoe UI" w:cs="Segoe UI"/>
          <w:i/>
          <w:color w:val="002060"/>
        </w:rPr>
        <w:noBreakHyphen/>
        <w:t>based’ approach to product safety standards be introduced?</w:t>
      </w:r>
    </w:p>
    <w:p w:rsidR="00C641B9" w:rsidRPr="00E35F91" w:rsidRDefault="00C641B9" w:rsidP="00DC6360">
      <w:pPr>
        <w:pStyle w:val="TableTextLeft-NumberingAppB"/>
        <w:numPr>
          <w:ilvl w:val="0"/>
          <w:numId w:val="9"/>
        </w:numPr>
        <w:tabs>
          <w:tab w:val="clear" w:pos="340"/>
          <w:tab w:val="left" w:pos="450"/>
        </w:tabs>
        <w:jc w:val="both"/>
        <w:rPr>
          <w:rFonts w:ascii="Segoe UI" w:hAnsi="Segoe UI" w:cs="Segoe UI"/>
          <w:i/>
          <w:color w:val="002060"/>
        </w:rPr>
      </w:pPr>
      <w:r w:rsidRPr="00E35F91">
        <w:rPr>
          <w:rFonts w:ascii="Segoe UI" w:hAnsi="Segoe UI" w:cs="Segoe UI"/>
          <w:i/>
          <w:color w:val="002060"/>
        </w:rPr>
        <w:t>What changes would businesses need to implement, and what are the associated costs? What impacts would a ‘performance</w:t>
      </w:r>
      <w:r w:rsidRPr="00E35F91">
        <w:rPr>
          <w:rFonts w:ascii="Segoe UI" w:hAnsi="Segoe UI" w:cs="Segoe UI"/>
          <w:i/>
          <w:color w:val="002060"/>
        </w:rPr>
        <w:noBreakHyphen/>
        <w:t>based’ approach have for consumers?</w:t>
      </w:r>
    </w:p>
    <w:p w:rsidR="00C641B9" w:rsidRPr="00E35F91" w:rsidRDefault="00C641B9" w:rsidP="00DC6360">
      <w:pPr>
        <w:pStyle w:val="TableTextLeft-NumberingAppB"/>
        <w:numPr>
          <w:ilvl w:val="0"/>
          <w:numId w:val="9"/>
        </w:numPr>
        <w:tabs>
          <w:tab w:val="clear" w:pos="340"/>
          <w:tab w:val="left" w:pos="450"/>
        </w:tabs>
        <w:jc w:val="both"/>
        <w:rPr>
          <w:rFonts w:ascii="Segoe UI" w:hAnsi="Segoe UI" w:cs="Segoe UI"/>
          <w:i/>
          <w:color w:val="002060"/>
        </w:rPr>
      </w:pPr>
      <w:r w:rsidRPr="00E35F91">
        <w:rPr>
          <w:rFonts w:ascii="Segoe UI" w:hAnsi="Segoe UI" w:cs="Segoe UI"/>
          <w:i/>
          <w:color w:val="002060"/>
        </w:rPr>
        <w:t>Are there any unintended consequences, and how could these be addressed?</w:t>
      </w:r>
    </w:p>
    <w:p w:rsidR="00C641B9" w:rsidRDefault="00C641B9" w:rsidP="00DC6360">
      <w:pPr>
        <w:tabs>
          <w:tab w:val="left" w:pos="540"/>
        </w:tabs>
        <w:spacing w:before="0" w:after="160" w:line="259" w:lineRule="auto"/>
        <w:ind w:left="-90"/>
        <w:jc w:val="both"/>
        <w:rPr>
          <w:rFonts w:ascii="Segoe UI" w:hAnsi="Segoe UI" w:cs="Segoe UI"/>
          <w:color w:val="auto"/>
          <w:sz w:val="20"/>
        </w:rPr>
      </w:pPr>
      <w:r w:rsidRPr="00E35F91">
        <w:rPr>
          <w:rFonts w:ascii="Segoe UI" w:hAnsi="Segoe UI" w:cs="Segoe UI"/>
          <w:color w:val="auto"/>
          <w:sz w:val="20"/>
        </w:rPr>
        <w:lastRenderedPageBreak/>
        <w:t xml:space="preserve">Aspects of this approach </w:t>
      </w:r>
      <w:r w:rsidR="00ED2F62" w:rsidRPr="00E35F91">
        <w:rPr>
          <w:rFonts w:ascii="Segoe UI" w:hAnsi="Segoe UI" w:cs="Segoe UI"/>
          <w:color w:val="auto"/>
          <w:sz w:val="20"/>
        </w:rPr>
        <w:t>seem</w:t>
      </w:r>
      <w:r w:rsidRPr="00E35F91">
        <w:rPr>
          <w:rFonts w:ascii="Segoe UI" w:hAnsi="Segoe UI" w:cs="Segoe UI"/>
          <w:color w:val="auto"/>
          <w:sz w:val="20"/>
        </w:rPr>
        <w:t xml:space="preserve"> sensible, but may also add additional complexity for affected </w:t>
      </w:r>
      <w:r w:rsidR="00ED2F62" w:rsidRPr="00E35F91">
        <w:rPr>
          <w:rFonts w:ascii="Segoe UI" w:hAnsi="Segoe UI" w:cs="Segoe UI"/>
          <w:color w:val="auto"/>
          <w:sz w:val="20"/>
        </w:rPr>
        <w:t xml:space="preserve">DSA </w:t>
      </w:r>
      <w:r w:rsidRPr="00E35F91">
        <w:rPr>
          <w:rFonts w:ascii="Segoe UI" w:hAnsi="Segoe UI" w:cs="Segoe UI"/>
          <w:color w:val="auto"/>
          <w:sz w:val="20"/>
        </w:rPr>
        <w:t>member</w:t>
      </w:r>
      <w:r w:rsidR="00ED2F62" w:rsidRPr="00E35F91">
        <w:rPr>
          <w:rFonts w:ascii="Segoe UI" w:hAnsi="Segoe UI" w:cs="Segoe UI"/>
          <w:color w:val="auto"/>
          <w:sz w:val="20"/>
        </w:rPr>
        <w:t>s.</w:t>
      </w:r>
      <w:r w:rsidRPr="00E35F91">
        <w:rPr>
          <w:rFonts w:ascii="Segoe UI" w:hAnsi="Segoe UI" w:cs="Segoe UI"/>
          <w:color w:val="auto"/>
          <w:sz w:val="20"/>
        </w:rPr>
        <w:t xml:space="preserve"> The introduction of any new performance-based approach would involve further implementation costs for affected businesses which would only be justified if there were demonstrated positive</w:t>
      </w:r>
      <w:r w:rsidR="00ED2F62" w:rsidRPr="00E35F91">
        <w:rPr>
          <w:rFonts w:ascii="Segoe UI" w:hAnsi="Segoe UI" w:cs="Segoe UI"/>
          <w:color w:val="auto"/>
          <w:sz w:val="20"/>
        </w:rPr>
        <w:t xml:space="preserve"> and balanced</w:t>
      </w:r>
      <w:r w:rsidRPr="00E35F91">
        <w:rPr>
          <w:rFonts w:ascii="Segoe UI" w:hAnsi="Segoe UI" w:cs="Segoe UI"/>
          <w:color w:val="auto"/>
          <w:sz w:val="20"/>
        </w:rPr>
        <w:t xml:space="preserve"> impacts for consumers.</w:t>
      </w:r>
    </w:p>
    <w:p w:rsidR="00E35F91" w:rsidRDefault="00E35F91" w:rsidP="00DC6360">
      <w:pPr>
        <w:tabs>
          <w:tab w:val="left" w:pos="540"/>
        </w:tabs>
        <w:spacing w:before="0" w:after="160" w:line="259" w:lineRule="auto"/>
        <w:ind w:left="-90"/>
        <w:jc w:val="both"/>
        <w:rPr>
          <w:rFonts w:ascii="Segoe UI" w:hAnsi="Segoe UI" w:cs="Segoe UI"/>
          <w:color w:val="auto"/>
          <w:sz w:val="20"/>
        </w:rPr>
      </w:pPr>
    </w:p>
    <w:p w:rsidR="00E35F91" w:rsidRPr="00E35F91" w:rsidRDefault="00E35F91" w:rsidP="00DC6360">
      <w:pPr>
        <w:tabs>
          <w:tab w:val="left" w:pos="540"/>
        </w:tabs>
        <w:spacing w:before="0" w:after="160" w:line="259" w:lineRule="auto"/>
        <w:ind w:left="-90"/>
        <w:jc w:val="both"/>
        <w:rPr>
          <w:rFonts w:ascii="Segoe UI" w:hAnsi="Segoe UI" w:cs="Segoe UI"/>
          <w:color w:val="auto"/>
          <w:sz w:val="20"/>
        </w:rPr>
      </w:pPr>
    </w:p>
    <w:p w:rsidR="00C641B9" w:rsidRPr="00E35F91" w:rsidRDefault="00C641B9" w:rsidP="00DC6360">
      <w:pPr>
        <w:tabs>
          <w:tab w:val="left" w:pos="720"/>
        </w:tabs>
        <w:spacing w:before="0" w:after="160" w:line="259" w:lineRule="auto"/>
        <w:jc w:val="both"/>
        <w:rPr>
          <w:rFonts w:ascii="Segoe UI" w:hAnsi="Segoe UI" w:cs="Segoe UI"/>
          <w:b/>
          <w:color w:val="auto"/>
          <w:sz w:val="20"/>
        </w:rPr>
      </w:pPr>
      <w:r w:rsidRPr="00E35F91">
        <w:rPr>
          <w:rFonts w:ascii="Segoe UI" w:hAnsi="Segoe UI" w:cs="Segoe UI"/>
          <w:b/>
          <w:color w:val="auto"/>
          <w:sz w:val="20"/>
        </w:rPr>
        <w:t>2.2.10</w:t>
      </w:r>
      <w:r w:rsidRPr="00E35F91">
        <w:rPr>
          <w:rFonts w:ascii="Segoe UI" w:hAnsi="Segoe UI" w:cs="Segoe UI"/>
          <w:b/>
          <w:color w:val="auto"/>
          <w:sz w:val="20"/>
        </w:rPr>
        <w:tab/>
        <w:t>Mandatory reporting requirements</w:t>
      </w:r>
    </w:p>
    <w:p w:rsidR="00C641B9" w:rsidRPr="00E35F91" w:rsidRDefault="00C641B9" w:rsidP="00DC6360">
      <w:pPr>
        <w:pStyle w:val="TableTextLeft-NumberingAppB"/>
        <w:numPr>
          <w:ilvl w:val="0"/>
          <w:numId w:val="0"/>
        </w:numPr>
        <w:tabs>
          <w:tab w:val="clear" w:pos="340"/>
          <w:tab w:val="left" w:pos="450"/>
        </w:tabs>
        <w:ind w:left="360" w:hanging="360"/>
        <w:jc w:val="both"/>
        <w:rPr>
          <w:rFonts w:ascii="Segoe UI" w:hAnsi="Segoe UI" w:cs="Segoe UI"/>
          <w:i/>
          <w:color w:val="002060"/>
        </w:rPr>
      </w:pPr>
      <w:r w:rsidRPr="00E35F91">
        <w:rPr>
          <w:rFonts w:ascii="Segoe UI" w:hAnsi="Segoe UI" w:cs="Segoe UI"/>
          <w:i/>
          <w:color w:val="002060"/>
        </w:rPr>
        <w:t>31.   Should the mandatory reporting triggered be clarified? If so:</w:t>
      </w:r>
    </w:p>
    <w:p w:rsidR="00C641B9" w:rsidRPr="00E35F91" w:rsidRDefault="00C641B9" w:rsidP="00DC6360">
      <w:pPr>
        <w:pStyle w:val="TableTextLeft-NumberingAppB"/>
        <w:numPr>
          <w:ilvl w:val="0"/>
          <w:numId w:val="10"/>
        </w:numPr>
        <w:tabs>
          <w:tab w:val="clear" w:pos="340"/>
          <w:tab w:val="left" w:pos="450"/>
        </w:tabs>
        <w:jc w:val="both"/>
        <w:rPr>
          <w:rFonts w:ascii="Segoe UI" w:hAnsi="Segoe UI" w:cs="Segoe UI"/>
          <w:i/>
          <w:color w:val="002060"/>
        </w:rPr>
      </w:pPr>
      <w:r w:rsidRPr="00E35F91">
        <w:rPr>
          <w:rFonts w:ascii="Segoe UI" w:hAnsi="Segoe UI" w:cs="Segoe UI"/>
          <w:i/>
          <w:color w:val="002060"/>
        </w:rPr>
        <w:t>How should this be achieved?</w:t>
      </w:r>
    </w:p>
    <w:p w:rsidR="00C641B9" w:rsidRPr="00E35F91" w:rsidRDefault="00C641B9" w:rsidP="00DC6360">
      <w:pPr>
        <w:pStyle w:val="TableTextLeft-NumberingAppB"/>
        <w:numPr>
          <w:ilvl w:val="0"/>
          <w:numId w:val="10"/>
        </w:numPr>
        <w:tabs>
          <w:tab w:val="clear" w:pos="340"/>
          <w:tab w:val="left" w:pos="450"/>
        </w:tabs>
        <w:jc w:val="both"/>
        <w:rPr>
          <w:rFonts w:ascii="Segoe UI" w:hAnsi="Segoe UI" w:cs="Segoe UI"/>
          <w:i/>
          <w:color w:val="002060"/>
        </w:rPr>
      </w:pPr>
      <w:r w:rsidRPr="00E35F91">
        <w:rPr>
          <w:rFonts w:ascii="Segoe UI" w:hAnsi="Segoe UI" w:cs="Segoe UI"/>
          <w:i/>
          <w:color w:val="002060"/>
        </w:rPr>
        <w:t>What changes would businesses need to implement to their current reporting processes, and what impact would this have on their compliance costs?</w:t>
      </w:r>
    </w:p>
    <w:p w:rsidR="00C641B9" w:rsidRPr="00E35F91" w:rsidRDefault="00C641B9" w:rsidP="00DC6360">
      <w:pPr>
        <w:pStyle w:val="TableTextLeft-NumberingAppB"/>
        <w:numPr>
          <w:ilvl w:val="0"/>
          <w:numId w:val="10"/>
        </w:numPr>
        <w:tabs>
          <w:tab w:val="clear" w:pos="340"/>
          <w:tab w:val="left" w:pos="450"/>
        </w:tabs>
        <w:jc w:val="both"/>
        <w:rPr>
          <w:rFonts w:ascii="Segoe UI" w:hAnsi="Segoe UI" w:cs="Segoe UI"/>
          <w:i/>
          <w:color w:val="002060"/>
        </w:rPr>
      </w:pPr>
      <w:r w:rsidRPr="00E35F91">
        <w:rPr>
          <w:rFonts w:ascii="Segoe UI" w:hAnsi="Segoe UI" w:cs="Segoe UI"/>
          <w:i/>
          <w:color w:val="002060"/>
        </w:rPr>
        <w:t>How would this affect the information that is available to regulators, and product safety outcomes for consumers?</w:t>
      </w:r>
    </w:p>
    <w:p w:rsidR="00C641B9" w:rsidRPr="00E35F91" w:rsidRDefault="00C641B9"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 xml:space="preserve">Clarification of the mandatory reporting triggers would be useful given current </w:t>
      </w:r>
      <w:r w:rsidR="00FB44B3" w:rsidRPr="00E35F91">
        <w:rPr>
          <w:rFonts w:ascii="Segoe UI" w:hAnsi="Segoe UI" w:cs="Segoe UI"/>
          <w:color w:val="auto"/>
          <w:sz w:val="20"/>
        </w:rPr>
        <w:t>uncertainty</w:t>
      </w:r>
      <w:r w:rsidRPr="00E35F91">
        <w:rPr>
          <w:rFonts w:ascii="Segoe UI" w:hAnsi="Segoe UI" w:cs="Segoe UI"/>
          <w:color w:val="auto"/>
          <w:sz w:val="20"/>
        </w:rPr>
        <w:t xml:space="preserve"> with the mandatory reporting provisions, particularly in relation to reporting obligations for minor injuries, and what constitutes </w:t>
      </w:r>
      <w:r w:rsidR="00E91F7C" w:rsidRPr="00E35F91">
        <w:rPr>
          <w:rFonts w:ascii="Segoe UI" w:hAnsi="Segoe UI" w:cs="Segoe UI"/>
          <w:color w:val="auto"/>
          <w:sz w:val="20"/>
        </w:rPr>
        <w:t>“</w:t>
      </w:r>
      <w:r w:rsidRPr="00E35F91">
        <w:rPr>
          <w:rFonts w:ascii="Segoe UI" w:hAnsi="Segoe UI" w:cs="Segoe UI"/>
          <w:color w:val="auto"/>
          <w:sz w:val="20"/>
        </w:rPr>
        <w:t>use or foreseeable misuse”.</w:t>
      </w:r>
      <w:r w:rsidR="00B11622" w:rsidRPr="00E35F91">
        <w:rPr>
          <w:rFonts w:ascii="Segoe UI" w:hAnsi="Segoe UI" w:cs="Segoe UI"/>
          <w:color w:val="auto"/>
          <w:sz w:val="20"/>
        </w:rPr>
        <w:t xml:space="preserve">   DSA submits this s</w:t>
      </w:r>
      <w:r w:rsidRPr="00E35F91">
        <w:rPr>
          <w:rFonts w:ascii="Segoe UI" w:hAnsi="Segoe UI" w:cs="Segoe UI"/>
          <w:color w:val="auto"/>
          <w:sz w:val="20"/>
        </w:rPr>
        <w:t>hould be achieved through industry consultation and regulator guidance, rather than changes to the law.</w:t>
      </w:r>
      <w:r w:rsidR="00B11622" w:rsidRPr="00E35F91">
        <w:rPr>
          <w:rFonts w:ascii="Segoe UI" w:hAnsi="Segoe UI" w:cs="Segoe UI"/>
          <w:color w:val="auto"/>
          <w:sz w:val="20"/>
        </w:rPr>
        <w:t xml:space="preserve">   But </w:t>
      </w:r>
      <w:r w:rsidR="007E7898" w:rsidRPr="00E35F91">
        <w:rPr>
          <w:rFonts w:ascii="Segoe UI" w:hAnsi="Segoe UI" w:cs="Segoe UI"/>
          <w:color w:val="auto"/>
          <w:sz w:val="20"/>
        </w:rPr>
        <w:t xml:space="preserve">any </w:t>
      </w:r>
      <w:r w:rsidRPr="00E35F91">
        <w:rPr>
          <w:rFonts w:ascii="Segoe UI" w:hAnsi="Segoe UI" w:cs="Segoe UI"/>
          <w:color w:val="auto"/>
          <w:sz w:val="20"/>
        </w:rPr>
        <w:t xml:space="preserve">regulator guidance should avoid creating further complexity and unnecessary compliance burdens for business.  </w:t>
      </w:r>
    </w:p>
    <w:p w:rsidR="00C641B9" w:rsidRPr="00E35F91" w:rsidRDefault="007E7898"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P</w:t>
      </w:r>
      <w:r w:rsidR="00C641B9" w:rsidRPr="00E35F91">
        <w:rPr>
          <w:rFonts w:ascii="Segoe UI" w:hAnsi="Segoe UI" w:cs="Segoe UI"/>
          <w:color w:val="auto"/>
          <w:sz w:val="20"/>
        </w:rPr>
        <w:t>riority should be on capturing information about “serious” and “acute” physical injuries or illness (or death) caused by the use or foreseeable misuse of products, as opposed to minor injuries.  This should improve the quality of reporting to regulators and product safety outcomes for consumers, and reduce unnecessary compliance burdens for business.</w:t>
      </w:r>
      <w:r w:rsidR="00B11622" w:rsidRPr="00E35F91">
        <w:rPr>
          <w:rFonts w:ascii="Segoe UI" w:hAnsi="Segoe UI" w:cs="Segoe UI"/>
          <w:color w:val="auto"/>
          <w:sz w:val="20"/>
        </w:rPr>
        <w:t xml:space="preserve">  Short term compliance costs can be expected with any change</w:t>
      </w:r>
      <w:r w:rsidR="00C641B9" w:rsidRPr="00E35F91">
        <w:rPr>
          <w:rFonts w:ascii="Segoe UI" w:hAnsi="Segoe UI" w:cs="Segoe UI"/>
          <w:color w:val="auto"/>
          <w:sz w:val="20"/>
        </w:rPr>
        <w:t xml:space="preserve">, </w:t>
      </w:r>
      <w:r w:rsidR="00B11622" w:rsidRPr="00E35F91">
        <w:rPr>
          <w:rFonts w:ascii="Segoe UI" w:hAnsi="Segoe UI" w:cs="Segoe UI"/>
          <w:color w:val="auto"/>
          <w:sz w:val="20"/>
        </w:rPr>
        <w:t>but</w:t>
      </w:r>
      <w:r w:rsidR="00C641B9" w:rsidRPr="00E35F91">
        <w:rPr>
          <w:rFonts w:ascii="Segoe UI" w:hAnsi="Segoe UI" w:cs="Segoe UI"/>
          <w:color w:val="auto"/>
          <w:sz w:val="20"/>
        </w:rPr>
        <w:t xml:space="preserve"> may be outweighed over time if ongoing compliance burdens created by uncertainty with the current mandatory reporting requirements are removed.</w:t>
      </w:r>
    </w:p>
    <w:p w:rsidR="00321ABF" w:rsidRPr="00E35F91" w:rsidRDefault="00321ABF" w:rsidP="00DC6360">
      <w:pPr>
        <w:pStyle w:val="TableTextLeft-NumberingAppB"/>
        <w:numPr>
          <w:ilvl w:val="0"/>
          <w:numId w:val="0"/>
        </w:numPr>
        <w:tabs>
          <w:tab w:val="clear" w:pos="340"/>
          <w:tab w:val="left" w:pos="450"/>
        </w:tabs>
        <w:ind w:left="360" w:hanging="360"/>
        <w:jc w:val="both"/>
        <w:rPr>
          <w:rFonts w:ascii="Segoe UI" w:hAnsi="Segoe UI" w:cs="Segoe UI"/>
          <w:i/>
          <w:color w:val="002060"/>
        </w:rPr>
      </w:pPr>
      <w:r w:rsidRPr="00E35F91">
        <w:rPr>
          <w:rFonts w:ascii="Segoe UI" w:hAnsi="Segoe UI" w:cs="Segoe UI"/>
          <w:i/>
          <w:color w:val="002060"/>
        </w:rPr>
        <w:t>32.   Should the current timeframe for making a mandatory report be extended? If so:</w:t>
      </w:r>
    </w:p>
    <w:p w:rsidR="00321ABF" w:rsidRPr="00E35F91" w:rsidRDefault="00321ABF" w:rsidP="00DC6360">
      <w:pPr>
        <w:pStyle w:val="TableTextLeft-NumberingAppB"/>
        <w:numPr>
          <w:ilvl w:val="0"/>
          <w:numId w:val="11"/>
        </w:numPr>
        <w:tabs>
          <w:tab w:val="clear" w:pos="340"/>
          <w:tab w:val="left" w:pos="450"/>
        </w:tabs>
        <w:jc w:val="both"/>
        <w:rPr>
          <w:rFonts w:ascii="Segoe UI" w:hAnsi="Segoe UI" w:cs="Segoe UI"/>
          <w:i/>
          <w:color w:val="002060"/>
        </w:rPr>
      </w:pPr>
      <w:r w:rsidRPr="00E35F91">
        <w:rPr>
          <w:rFonts w:ascii="Segoe UI" w:hAnsi="Segoe UI" w:cs="Segoe UI"/>
          <w:i/>
          <w:color w:val="002060"/>
        </w:rPr>
        <w:t>What time period should apply?</w:t>
      </w:r>
    </w:p>
    <w:p w:rsidR="00321ABF" w:rsidRPr="00E35F91" w:rsidRDefault="00321ABF" w:rsidP="00DC6360">
      <w:pPr>
        <w:pStyle w:val="TableTextLeft-NumberingAppB"/>
        <w:numPr>
          <w:ilvl w:val="0"/>
          <w:numId w:val="11"/>
        </w:numPr>
        <w:tabs>
          <w:tab w:val="clear" w:pos="340"/>
          <w:tab w:val="left" w:pos="450"/>
        </w:tabs>
        <w:jc w:val="both"/>
        <w:rPr>
          <w:rFonts w:ascii="Segoe UI" w:hAnsi="Segoe UI" w:cs="Segoe UI"/>
          <w:i/>
          <w:color w:val="002060"/>
        </w:rPr>
      </w:pPr>
      <w:r w:rsidRPr="00E35F91">
        <w:rPr>
          <w:rFonts w:ascii="Segoe UI" w:hAnsi="Segoe UI" w:cs="Segoe UI"/>
          <w:i/>
          <w:color w:val="002060"/>
        </w:rPr>
        <w:t>Should it be accompanied by other requirements, for example, immediate notification?</w:t>
      </w:r>
    </w:p>
    <w:p w:rsidR="00321ABF" w:rsidRPr="00E35F91" w:rsidRDefault="00321ABF" w:rsidP="00DC6360">
      <w:pPr>
        <w:pStyle w:val="TableTextLeft-NumberingAppB"/>
        <w:numPr>
          <w:ilvl w:val="0"/>
          <w:numId w:val="11"/>
        </w:numPr>
        <w:tabs>
          <w:tab w:val="clear" w:pos="340"/>
          <w:tab w:val="left" w:pos="450"/>
        </w:tabs>
        <w:jc w:val="both"/>
        <w:rPr>
          <w:rFonts w:ascii="Segoe UI" w:hAnsi="Segoe UI" w:cs="Segoe UI"/>
          <w:i/>
          <w:color w:val="002060"/>
        </w:rPr>
      </w:pPr>
      <w:r w:rsidRPr="00E35F91">
        <w:rPr>
          <w:rFonts w:ascii="Segoe UI" w:hAnsi="Segoe UI" w:cs="Segoe UI"/>
          <w:i/>
          <w:color w:val="002060"/>
        </w:rPr>
        <w:t>What changes to businesses processes would be needed, and what would be the impact on compliance costs?</w:t>
      </w:r>
    </w:p>
    <w:p w:rsidR="00321ABF" w:rsidRPr="00E35F91" w:rsidRDefault="00321ABF" w:rsidP="00DC6360">
      <w:pPr>
        <w:pStyle w:val="TableTextLeft-NumberingAppB"/>
        <w:numPr>
          <w:ilvl w:val="0"/>
          <w:numId w:val="11"/>
        </w:numPr>
        <w:tabs>
          <w:tab w:val="clear" w:pos="340"/>
          <w:tab w:val="left" w:pos="450"/>
        </w:tabs>
        <w:jc w:val="both"/>
        <w:rPr>
          <w:rFonts w:ascii="Segoe UI" w:hAnsi="Segoe UI" w:cs="Segoe UI"/>
          <w:i/>
          <w:color w:val="002060"/>
        </w:rPr>
      </w:pPr>
      <w:r w:rsidRPr="00E35F91">
        <w:rPr>
          <w:rFonts w:ascii="Segoe UI" w:hAnsi="Segoe UI" w:cs="Segoe UI"/>
          <w:i/>
          <w:color w:val="002060"/>
        </w:rPr>
        <w:t>What, if any, transitional arrangements would be needed?</w:t>
      </w:r>
    </w:p>
    <w:p w:rsidR="00321ABF" w:rsidRPr="00E35F91" w:rsidRDefault="00321ABF" w:rsidP="00DC6360">
      <w:pPr>
        <w:pStyle w:val="TableTextLeft-NumberingAppB"/>
        <w:numPr>
          <w:ilvl w:val="0"/>
          <w:numId w:val="11"/>
        </w:numPr>
        <w:tabs>
          <w:tab w:val="clear" w:pos="340"/>
          <w:tab w:val="left" w:pos="450"/>
        </w:tabs>
        <w:jc w:val="both"/>
        <w:rPr>
          <w:rFonts w:ascii="Segoe UI" w:hAnsi="Segoe UI" w:cs="Segoe UI"/>
          <w:i/>
          <w:color w:val="002060"/>
        </w:rPr>
      </w:pPr>
      <w:r w:rsidRPr="00E35F91">
        <w:rPr>
          <w:rFonts w:ascii="Segoe UI" w:hAnsi="Segoe UI" w:cs="Segoe UI"/>
          <w:i/>
          <w:color w:val="002060"/>
        </w:rPr>
        <w:t>Are there any unintended consequences, and how could these be addressed?</w:t>
      </w:r>
    </w:p>
    <w:p w:rsidR="00321ABF" w:rsidRPr="00E35F91" w:rsidRDefault="00321ABF"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 xml:space="preserve">The current </w:t>
      </w:r>
      <w:r w:rsidR="001F21E1" w:rsidRPr="00E35F91">
        <w:rPr>
          <w:rFonts w:ascii="Segoe UI" w:hAnsi="Segoe UI" w:cs="Segoe UI"/>
          <w:color w:val="auto"/>
          <w:sz w:val="20"/>
        </w:rPr>
        <w:t>two-day</w:t>
      </w:r>
      <w:r w:rsidRPr="00E35F91">
        <w:rPr>
          <w:rFonts w:ascii="Segoe UI" w:hAnsi="Segoe UI" w:cs="Segoe UI"/>
          <w:color w:val="auto"/>
          <w:sz w:val="20"/>
        </w:rPr>
        <w:t xml:space="preserve"> timeframe for</w:t>
      </w:r>
      <w:r w:rsidR="00B11622" w:rsidRPr="00E35F91">
        <w:rPr>
          <w:rFonts w:ascii="Segoe UI" w:hAnsi="Segoe UI" w:cs="Segoe UI"/>
          <w:color w:val="auto"/>
          <w:sz w:val="20"/>
        </w:rPr>
        <w:t xml:space="preserve"> </w:t>
      </w:r>
      <w:r w:rsidRPr="00E35F91">
        <w:rPr>
          <w:rFonts w:ascii="Segoe UI" w:hAnsi="Segoe UI" w:cs="Segoe UI"/>
          <w:color w:val="auto"/>
          <w:sz w:val="20"/>
        </w:rPr>
        <w:t>a mandatory report should be extended to</w:t>
      </w:r>
      <w:r w:rsidR="00B11622" w:rsidRPr="00E35F91">
        <w:rPr>
          <w:rFonts w:ascii="Segoe UI" w:hAnsi="Segoe UI" w:cs="Segoe UI"/>
          <w:color w:val="auto"/>
          <w:sz w:val="20"/>
        </w:rPr>
        <w:t xml:space="preserve"> ten days</w:t>
      </w:r>
      <w:r w:rsidRPr="00E35F91">
        <w:rPr>
          <w:rFonts w:ascii="Segoe UI" w:hAnsi="Segoe UI" w:cs="Segoe UI"/>
          <w:color w:val="auto"/>
          <w:sz w:val="20"/>
        </w:rPr>
        <w:t xml:space="preserve"> to allow sufficient time for meaningful and useful information about an incident to be gathered and reported.  The </w:t>
      </w:r>
      <w:r w:rsidR="001F21E1" w:rsidRPr="00E35F91">
        <w:rPr>
          <w:rFonts w:ascii="Segoe UI" w:hAnsi="Segoe UI" w:cs="Segoe UI"/>
          <w:color w:val="auto"/>
          <w:sz w:val="20"/>
        </w:rPr>
        <w:t>two-day</w:t>
      </w:r>
      <w:r w:rsidRPr="00E35F91">
        <w:rPr>
          <w:rFonts w:ascii="Segoe UI" w:hAnsi="Segoe UI" w:cs="Segoe UI"/>
          <w:color w:val="auto"/>
          <w:sz w:val="20"/>
        </w:rPr>
        <w:t xml:space="preserve"> timeframe promotes an unduly conservative approach to reporting and may lead to reports that are incomplete, inaccurate and possibly unnecessary.  </w:t>
      </w:r>
    </w:p>
    <w:p w:rsidR="00321ABF" w:rsidRPr="00E35F91" w:rsidRDefault="00321ABF"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An extension of the timeframe is also warranted given practical difficulties associated with reports being made on weekends or via social media, or in the case of DSA membe</w:t>
      </w:r>
      <w:r w:rsidR="00DC5E3B" w:rsidRPr="00E35F91">
        <w:rPr>
          <w:rFonts w:ascii="Segoe UI" w:hAnsi="Segoe UI" w:cs="Segoe UI"/>
          <w:color w:val="auto"/>
          <w:sz w:val="20"/>
        </w:rPr>
        <w:t>rs</w:t>
      </w:r>
      <w:r w:rsidRPr="00E35F91">
        <w:rPr>
          <w:rFonts w:ascii="Segoe UI" w:hAnsi="Segoe UI" w:cs="Segoe UI"/>
          <w:color w:val="auto"/>
          <w:sz w:val="20"/>
        </w:rPr>
        <w:t xml:space="preserve">, being made to the independent </w:t>
      </w:r>
      <w:r w:rsidRPr="00E35F91">
        <w:rPr>
          <w:rFonts w:ascii="Segoe UI" w:hAnsi="Segoe UI" w:cs="Segoe UI"/>
          <w:color w:val="auto"/>
          <w:sz w:val="20"/>
        </w:rPr>
        <w:lastRenderedPageBreak/>
        <w:t xml:space="preserve">distributor </w:t>
      </w:r>
      <w:r w:rsidR="00B11622" w:rsidRPr="00E35F91">
        <w:rPr>
          <w:rFonts w:ascii="Segoe UI" w:hAnsi="Segoe UI" w:cs="Segoe UI"/>
          <w:color w:val="auto"/>
          <w:sz w:val="20"/>
        </w:rPr>
        <w:t>who enjoys</w:t>
      </w:r>
      <w:r w:rsidRPr="00E35F91">
        <w:rPr>
          <w:rFonts w:ascii="Segoe UI" w:hAnsi="Segoe UI" w:cs="Segoe UI"/>
          <w:color w:val="auto"/>
          <w:sz w:val="20"/>
        </w:rPr>
        <w:t xml:space="preserve"> the primary relationship with the consumer, rather than the </w:t>
      </w:r>
      <w:r w:rsidR="00E91F7C" w:rsidRPr="00E35F91">
        <w:rPr>
          <w:rFonts w:ascii="Segoe UI" w:hAnsi="Segoe UI" w:cs="Segoe UI"/>
          <w:color w:val="auto"/>
          <w:sz w:val="20"/>
        </w:rPr>
        <w:t xml:space="preserve">DSA </w:t>
      </w:r>
      <w:r w:rsidR="00B11622" w:rsidRPr="00E35F91">
        <w:rPr>
          <w:rFonts w:ascii="Segoe UI" w:hAnsi="Segoe UI" w:cs="Segoe UI"/>
          <w:color w:val="auto"/>
          <w:sz w:val="20"/>
        </w:rPr>
        <w:t>member</w:t>
      </w:r>
      <w:r w:rsidRPr="00E35F91">
        <w:rPr>
          <w:rFonts w:ascii="Segoe UI" w:hAnsi="Segoe UI" w:cs="Segoe UI"/>
          <w:color w:val="auto"/>
          <w:sz w:val="20"/>
        </w:rPr>
        <w:t xml:space="preserve"> </w:t>
      </w:r>
      <w:r w:rsidR="007E7898" w:rsidRPr="00E35F91">
        <w:rPr>
          <w:rFonts w:ascii="Segoe UI" w:hAnsi="Segoe UI" w:cs="Segoe UI"/>
          <w:color w:val="auto"/>
          <w:sz w:val="20"/>
        </w:rPr>
        <w:t>that</w:t>
      </w:r>
      <w:r w:rsidRPr="00E35F91">
        <w:rPr>
          <w:rFonts w:ascii="Segoe UI" w:hAnsi="Segoe UI" w:cs="Segoe UI"/>
          <w:color w:val="auto"/>
          <w:sz w:val="20"/>
        </w:rPr>
        <w:t xml:space="preserve"> would ordinarily assume</w:t>
      </w:r>
      <w:r w:rsidR="00B11622" w:rsidRPr="00E35F91">
        <w:rPr>
          <w:rFonts w:ascii="Segoe UI" w:hAnsi="Segoe UI" w:cs="Segoe UI"/>
          <w:color w:val="auto"/>
          <w:sz w:val="20"/>
        </w:rPr>
        <w:t xml:space="preserve"> reporting</w:t>
      </w:r>
      <w:r w:rsidRPr="00E35F91">
        <w:rPr>
          <w:rFonts w:ascii="Segoe UI" w:hAnsi="Segoe UI" w:cs="Segoe UI"/>
          <w:color w:val="auto"/>
          <w:sz w:val="20"/>
        </w:rPr>
        <w:t xml:space="preserve"> responsibility</w:t>
      </w:r>
      <w:r w:rsidR="00B11622" w:rsidRPr="00E35F91">
        <w:rPr>
          <w:rFonts w:ascii="Segoe UI" w:hAnsi="Segoe UI" w:cs="Segoe UI"/>
          <w:color w:val="auto"/>
          <w:sz w:val="20"/>
        </w:rPr>
        <w:t>.</w:t>
      </w:r>
    </w:p>
    <w:p w:rsidR="00321ABF" w:rsidRPr="00E35F91" w:rsidRDefault="00321ABF"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Other requirements would be unnecessary.</w:t>
      </w:r>
      <w:r w:rsidR="007E7898" w:rsidRPr="00E35F91">
        <w:rPr>
          <w:rFonts w:ascii="Segoe UI" w:hAnsi="Segoe UI" w:cs="Segoe UI"/>
          <w:color w:val="auto"/>
          <w:sz w:val="20"/>
        </w:rPr>
        <w:t xml:space="preserve">   </w:t>
      </w:r>
      <w:r w:rsidRPr="00E35F91">
        <w:rPr>
          <w:rFonts w:ascii="Segoe UI" w:hAnsi="Segoe UI" w:cs="Segoe UI"/>
          <w:color w:val="auto"/>
          <w:sz w:val="20"/>
        </w:rPr>
        <w:t xml:space="preserve">Immediate notification would create additional impractical and unduly burdensome obligations for businesses who are already challenged by the existing </w:t>
      </w:r>
      <w:r w:rsidR="001F21E1" w:rsidRPr="00E35F91">
        <w:rPr>
          <w:rFonts w:ascii="Segoe UI" w:hAnsi="Segoe UI" w:cs="Segoe UI"/>
          <w:color w:val="auto"/>
          <w:sz w:val="20"/>
        </w:rPr>
        <w:t>two-day</w:t>
      </w:r>
      <w:r w:rsidRPr="00E35F91">
        <w:rPr>
          <w:rFonts w:ascii="Segoe UI" w:hAnsi="Segoe UI" w:cs="Segoe UI"/>
          <w:color w:val="auto"/>
          <w:sz w:val="20"/>
        </w:rPr>
        <w:t xml:space="preserve"> reporting period, with no apparent benefit to the consumer.</w:t>
      </w:r>
      <w:r w:rsidR="00F51183" w:rsidRPr="00E35F91">
        <w:rPr>
          <w:rFonts w:ascii="Segoe UI" w:hAnsi="Segoe UI" w:cs="Segoe UI"/>
          <w:color w:val="auto"/>
          <w:sz w:val="20"/>
        </w:rPr>
        <w:t xml:space="preserve">   </w:t>
      </w:r>
      <w:r w:rsidRPr="00E35F91">
        <w:rPr>
          <w:rFonts w:ascii="Segoe UI" w:hAnsi="Segoe UI" w:cs="Segoe UI"/>
          <w:color w:val="auto"/>
          <w:sz w:val="20"/>
        </w:rPr>
        <w:t>There may be no need for transitional provisions if the time period is extended in the absence of any additional compliance obligations, and additional compliance costs would be minimal.</w:t>
      </w:r>
    </w:p>
    <w:p w:rsidR="00321ABF" w:rsidRPr="00E35F91" w:rsidRDefault="00321ABF" w:rsidP="00DC6360">
      <w:pPr>
        <w:pStyle w:val="ListParagraph"/>
        <w:numPr>
          <w:ilvl w:val="2"/>
          <w:numId w:val="12"/>
        </w:numPr>
        <w:tabs>
          <w:tab w:val="left" w:pos="720"/>
        </w:tabs>
        <w:spacing w:before="0" w:after="160" w:line="259" w:lineRule="auto"/>
        <w:jc w:val="both"/>
        <w:rPr>
          <w:rFonts w:ascii="Segoe UI" w:hAnsi="Segoe UI" w:cs="Segoe UI"/>
          <w:b/>
          <w:i/>
          <w:color w:val="auto"/>
          <w:sz w:val="20"/>
        </w:rPr>
      </w:pPr>
      <w:r w:rsidRPr="00E35F91">
        <w:rPr>
          <w:rFonts w:ascii="Segoe UI" w:hAnsi="Segoe UI" w:cs="Segoe UI"/>
          <w:b/>
          <w:i/>
          <w:color w:val="auto"/>
          <w:sz w:val="20"/>
        </w:rPr>
        <w:t>Product bans and recalls</w:t>
      </w:r>
    </w:p>
    <w:p w:rsidR="00321ABF" w:rsidRPr="00E35F91" w:rsidRDefault="00321ABF" w:rsidP="00DC6360">
      <w:pPr>
        <w:pStyle w:val="TableTextLeft-NumberingAppB"/>
        <w:numPr>
          <w:ilvl w:val="0"/>
          <w:numId w:val="0"/>
        </w:numPr>
        <w:tabs>
          <w:tab w:val="clear" w:pos="340"/>
          <w:tab w:val="left" w:pos="450"/>
        </w:tabs>
        <w:ind w:left="360" w:hanging="360"/>
        <w:jc w:val="both"/>
        <w:rPr>
          <w:rFonts w:ascii="Segoe UI" w:hAnsi="Segoe UI" w:cs="Segoe UI"/>
          <w:i/>
          <w:color w:val="002060"/>
        </w:rPr>
      </w:pPr>
      <w:r w:rsidRPr="00E35F91">
        <w:rPr>
          <w:rFonts w:ascii="Segoe UI" w:hAnsi="Segoe UI" w:cs="Segoe UI"/>
          <w:i/>
          <w:color w:val="002060"/>
        </w:rPr>
        <w:t>33.  Should a statutory definition of a voluntary recall be introduced? Would this address the concerns raised? If so:</w:t>
      </w:r>
    </w:p>
    <w:p w:rsidR="00321ABF" w:rsidRPr="00E35F91" w:rsidRDefault="00321ABF" w:rsidP="00DC6360">
      <w:pPr>
        <w:pStyle w:val="TableTextLeft-NumberingAppB"/>
        <w:numPr>
          <w:ilvl w:val="0"/>
          <w:numId w:val="13"/>
        </w:numPr>
        <w:tabs>
          <w:tab w:val="clear" w:pos="340"/>
          <w:tab w:val="left" w:pos="450"/>
        </w:tabs>
        <w:jc w:val="both"/>
        <w:rPr>
          <w:rFonts w:ascii="Segoe UI" w:hAnsi="Segoe UI" w:cs="Segoe UI"/>
          <w:i/>
          <w:color w:val="002060"/>
        </w:rPr>
      </w:pPr>
      <w:r w:rsidRPr="00E35F91">
        <w:rPr>
          <w:rFonts w:ascii="Segoe UI" w:hAnsi="Segoe UI" w:cs="Segoe UI"/>
          <w:i/>
          <w:color w:val="002060"/>
        </w:rPr>
        <w:t>How should a voluntary recall be defined?</w:t>
      </w:r>
    </w:p>
    <w:p w:rsidR="00321ABF" w:rsidRPr="00E35F91" w:rsidRDefault="00321ABF" w:rsidP="00DC6360">
      <w:pPr>
        <w:pStyle w:val="TableTextLeft-NumberingAppB"/>
        <w:numPr>
          <w:ilvl w:val="0"/>
          <w:numId w:val="13"/>
        </w:numPr>
        <w:tabs>
          <w:tab w:val="clear" w:pos="340"/>
          <w:tab w:val="left" w:pos="450"/>
        </w:tabs>
        <w:jc w:val="both"/>
        <w:rPr>
          <w:rFonts w:ascii="Segoe UI" w:hAnsi="Segoe UI" w:cs="Segoe UI"/>
          <w:i/>
          <w:color w:val="002060"/>
        </w:rPr>
      </w:pPr>
      <w:r w:rsidRPr="00E35F91">
        <w:rPr>
          <w:rFonts w:ascii="Segoe UI" w:hAnsi="Segoe UI" w:cs="Segoe UI"/>
          <w:i/>
          <w:color w:val="002060"/>
        </w:rPr>
        <w:t>What factors or criteria should be included?</w:t>
      </w:r>
    </w:p>
    <w:p w:rsidR="00B95BB5" w:rsidRPr="00E35F91" w:rsidRDefault="00B95BB5"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The proposal to introduce a statutory definition of “voluntary recall” has merit if the outcome is to provide greater clarity for businesses to take adequate steps so that a mandatory recall is not required.</w:t>
      </w:r>
    </w:p>
    <w:p w:rsidR="00B95BB5" w:rsidRPr="00E35F91" w:rsidRDefault="00B95BB5"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The example given which defines a product recall as “corrective action taken post production to address consumer health or safety issues associated with a product</w:t>
      </w:r>
      <w:r w:rsidR="00F51183" w:rsidRPr="00E35F91">
        <w:rPr>
          <w:rFonts w:ascii="Segoe UI" w:hAnsi="Segoe UI" w:cs="Segoe UI"/>
          <w:color w:val="auto"/>
          <w:sz w:val="20"/>
        </w:rPr>
        <w:t xml:space="preserve">” deserves </w:t>
      </w:r>
      <w:r w:rsidR="0047340E" w:rsidRPr="00E35F91">
        <w:rPr>
          <w:rFonts w:ascii="Segoe UI" w:hAnsi="Segoe UI" w:cs="Segoe UI"/>
          <w:color w:val="auto"/>
          <w:sz w:val="20"/>
        </w:rPr>
        <w:t>consideration.</w:t>
      </w:r>
      <w:r w:rsidRPr="00E35F91">
        <w:rPr>
          <w:rFonts w:ascii="Segoe UI" w:hAnsi="Segoe UI" w:cs="Segoe UI"/>
          <w:color w:val="auto"/>
          <w:sz w:val="20"/>
        </w:rPr>
        <w:t xml:space="preserve">  The use of the words “corrective action” is preferable to the use of the word “recall”, because it contemplates a range of action </w:t>
      </w:r>
      <w:r w:rsidR="0047340E" w:rsidRPr="00E35F91">
        <w:rPr>
          <w:rFonts w:ascii="Segoe UI" w:hAnsi="Segoe UI" w:cs="Segoe UI"/>
          <w:color w:val="auto"/>
          <w:sz w:val="20"/>
        </w:rPr>
        <w:t>could</w:t>
      </w:r>
      <w:r w:rsidRPr="00E35F91">
        <w:rPr>
          <w:rFonts w:ascii="Segoe UI" w:hAnsi="Segoe UI" w:cs="Segoe UI"/>
          <w:color w:val="auto"/>
          <w:sz w:val="20"/>
        </w:rPr>
        <w:t xml:space="preserve"> be taken </w:t>
      </w:r>
      <w:r w:rsidR="0047340E" w:rsidRPr="00E35F91">
        <w:rPr>
          <w:rFonts w:ascii="Segoe UI" w:hAnsi="Segoe UI" w:cs="Segoe UI"/>
          <w:color w:val="auto"/>
          <w:sz w:val="20"/>
        </w:rPr>
        <w:t>for</w:t>
      </w:r>
      <w:r w:rsidRPr="00E35F91">
        <w:rPr>
          <w:rFonts w:ascii="Segoe UI" w:hAnsi="Segoe UI" w:cs="Segoe UI"/>
          <w:color w:val="auto"/>
          <w:sz w:val="20"/>
        </w:rPr>
        <w:t xml:space="preserve"> a particular consumer risk – for example,</w:t>
      </w:r>
      <w:r w:rsidR="0047340E" w:rsidRPr="00E35F91">
        <w:rPr>
          <w:rFonts w:ascii="Segoe UI" w:hAnsi="Segoe UI" w:cs="Segoe UI"/>
          <w:color w:val="auto"/>
          <w:sz w:val="20"/>
        </w:rPr>
        <w:t xml:space="preserve"> giving consumers information or replacement parts to </w:t>
      </w:r>
      <w:r w:rsidRPr="00E35F91">
        <w:rPr>
          <w:rFonts w:ascii="Segoe UI" w:hAnsi="Segoe UI" w:cs="Segoe UI"/>
          <w:color w:val="auto"/>
          <w:sz w:val="20"/>
        </w:rPr>
        <w:t xml:space="preserve">address the risk themselves.  The word “recall” suggests a product is to be withdrawn or removed from the market completely.  This can lead to uncertainty and unnecessary confusion for businesses and consumers. </w:t>
      </w:r>
    </w:p>
    <w:p w:rsidR="00B95BB5" w:rsidRPr="00E35F91" w:rsidRDefault="00B95BB5" w:rsidP="00DC6360">
      <w:pPr>
        <w:pStyle w:val="TableTextLeft-NumberingAppB"/>
        <w:numPr>
          <w:ilvl w:val="0"/>
          <w:numId w:val="0"/>
        </w:numPr>
        <w:tabs>
          <w:tab w:val="clear" w:pos="340"/>
          <w:tab w:val="left" w:pos="450"/>
        </w:tabs>
        <w:ind w:left="360" w:hanging="360"/>
        <w:jc w:val="both"/>
        <w:rPr>
          <w:rFonts w:ascii="Segoe UI" w:hAnsi="Segoe UI" w:cs="Segoe UI"/>
          <w:i/>
          <w:color w:val="002060"/>
        </w:rPr>
      </w:pPr>
      <w:r w:rsidRPr="00E35F91">
        <w:rPr>
          <w:rFonts w:ascii="Segoe UI" w:hAnsi="Segoe UI" w:cs="Segoe UI"/>
          <w:i/>
          <w:color w:val="002060"/>
        </w:rPr>
        <w:t>34.   Should the penalty for a failure to notify a recall be increased and, if so, to what amount?</w:t>
      </w:r>
    </w:p>
    <w:p w:rsidR="00B95BB5" w:rsidRPr="00E35F91" w:rsidRDefault="00B95BB5" w:rsidP="00DC6360">
      <w:pPr>
        <w:tabs>
          <w:tab w:val="left" w:pos="540"/>
        </w:tabs>
        <w:spacing w:before="0" w:after="160" w:line="259" w:lineRule="auto"/>
        <w:ind w:left="360"/>
        <w:jc w:val="both"/>
        <w:rPr>
          <w:rFonts w:ascii="Segoe UI" w:hAnsi="Segoe UI" w:cs="Segoe UI"/>
          <w:i/>
          <w:color w:val="002060"/>
          <w:sz w:val="20"/>
        </w:rPr>
      </w:pPr>
      <w:r w:rsidRPr="00E35F91">
        <w:rPr>
          <w:rFonts w:ascii="Segoe UI" w:hAnsi="Segoe UI" w:cs="Segoe UI"/>
          <w:i/>
          <w:color w:val="002060"/>
          <w:sz w:val="20"/>
        </w:rPr>
        <w:t>Only if there was evidence to suggest that an increase in the penalty would have a deterrent effect on businesses who may otherwise choose not to comply.</w:t>
      </w:r>
    </w:p>
    <w:p w:rsidR="00B95BB5" w:rsidRPr="00E35F91" w:rsidRDefault="00B95BB5" w:rsidP="00DC6360">
      <w:pPr>
        <w:pStyle w:val="TableTextLeft-NumberingAppB"/>
        <w:numPr>
          <w:ilvl w:val="0"/>
          <w:numId w:val="0"/>
        </w:numPr>
        <w:tabs>
          <w:tab w:val="clear" w:pos="340"/>
          <w:tab w:val="left" w:pos="450"/>
        </w:tabs>
        <w:ind w:left="360" w:hanging="360"/>
        <w:jc w:val="both"/>
        <w:rPr>
          <w:rFonts w:ascii="Segoe UI" w:hAnsi="Segoe UI" w:cs="Segoe UI"/>
          <w:i/>
          <w:color w:val="002060"/>
        </w:rPr>
      </w:pPr>
      <w:r w:rsidRPr="00E35F91">
        <w:rPr>
          <w:rFonts w:ascii="Segoe UI" w:hAnsi="Segoe UI" w:cs="Segoe UI"/>
          <w:i/>
          <w:color w:val="002060"/>
        </w:rPr>
        <w:t>35.   Should current processes for implementing product bans and recalls be streamlined? If so:</w:t>
      </w:r>
    </w:p>
    <w:p w:rsidR="00B95BB5" w:rsidRPr="00E35F91" w:rsidRDefault="00B95BB5" w:rsidP="00DC6360">
      <w:pPr>
        <w:pStyle w:val="TableTextLeft-NumberingAppB"/>
        <w:numPr>
          <w:ilvl w:val="0"/>
          <w:numId w:val="13"/>
        </w:numPr>
        <w:tabs>
          <w:tab w:val="clear" w:pos="340"/>
          <w:tab w:val="left" w:pos="450"/>
        </w:tabs>
        <w:jc w:val="both"/>
        <w:rPr>
          <w:rFonts w:ascii="Segoe UI" w:hAnsi="Segoe UI" w:cs="Segoe UI"/>
          <w:i/>
          <w:color w:val="002060"/>
        </w:rPr>
      </w:pPr>
      <w:r w:rsidRPr="00E35F91">
        <w:rPr>
          <w:rFonts w:ascii="Segoe UI" w:hAnsi="Segoe UI" w:cs="Segoe UI"/>
          <w:i/>
          <w:color w:val="002060"/>
        </w:rPr>
        <w:t>How should they be streamlined?</w:t>
      </w:r>
    </w:p>
    <w:p w:rsidR="00B95BB5" w:rsidRPr="00E35F91" w:rsidRDefault="00B95BB5" w:rsidP="00DC6360">
      <w:pPr>
        <w:pStyle w:val="TableTextLeft-NumberingAppB"/>
        <w:numPr>
          <w:ilvl w:val="0"/>
          <w:numId w:val="13"/>
        </w:numPr>
        <w:tabs>
          <w:tab w:val="clear" w:pos="340"/>
          <w:tab w:val="left" w:pos="450"/>
        </w:tabs>
        <w:jc w:val="both"/>
        <w:rPr>
          <w:rFonts w:ascii="Segoe UI" w:hAnsi="Segoe UI" w:cs="Segoe UI"/>
          <w:i/>
          <w:color w:val="002060"/>
        </w:rPr>
      </w:pPr>
      <w:r w:rsidRPr="00E35F91">
        <w:rPr>
          <w:rFonts w:ascii="Segoe UI" w:hAnsi="Segoe UI" w:cs="Segoe UI"/>
          <w:i/>
          <w:color w:val="002060"/>
        </w:rPr>
        <w:t>What would be the associated benefits and costs?</w:t>
      </w:r>
    </w:p>
    <w:p w:rsidR="00B95BB5" w:rsidRPr="00E35F91" w:rsidRDefault="00B95BB5" w:rsidP="00DC6360">
      <w:pPr>
        <w:pStyle w:val="TableTextLeft-NumberingAppB"/>
        <w:numPr>
          <w:ilvl w:val="0"/>
          <w:numId w:val="13"/>
        </w:numPr>
        <w:tabs>
          <w:tab w:val="clear" w:pos="340"/>
          <w:tab w:val="left" w:pos="450"/>
        </w:tabs>
        <w:jc w:val="both"/>
        <w:rPr>
          <w:rFonts w:ascii="Segoe UI" w:hAnsi="Segoe UI" w:cs="Segoe UI"/>
          <w:i/>
          <w:color w:val="002060"/>
        </w:rPr>
      </w:pPr>
      <w:r w:rsidRPr="00E35F91">
        <w:rPr>
          <w:rFonts w:ascii="Segoe UI" w:hAnsi="Segoe UI" w:cs="Segoe UI"/>
          <w:i/>
          <w:color w:val="002060"/>
        </w:rPr>
        <w:t>Are there any unintended consequences, risks or challenges that need to be considered?</w:t>
      </w:r>
    </w:p>
    <w:p w:rsidR="00B95BB5" w:rsidRPr="00E35F91" w:rsidRDefault="00B95BB5"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While there is a case for streamlining current processes, including interaction and communication between offices within the same regulator, this must not be at the expense of appropriate checks and balances to ensure product bans and recalls are only issued in appropriate cases.</w:t>
      </w:r>
      <w:r w:rsidR="00FB6D04" w:rsidRPr="00E35F91">
        <w:rPr>
          <w:rFonts w:ascii="Segoe UI" w:hAnsi="Segoe UI" w:cs="Segoe UI"/>
          <w:color w:val="auto"/>
          <w:sz w:val="20"/>
        </w:rPr>
        <w:t xml:space="preserve">   </w:t>
      </w:r>
      <w:r w:rsidRPr="00E35F91">
        <w:rPr>
          <w:rFonts w:ascii="Segoe UI" w:hAnsi="Segoe UI" w:cs="Segoe UI"/>
          <w:color w:val="auto"/>
          <w:sz w:val="20"/>
        </w:rPr>
        <w:t>Giving regulators power to issue “administrative orders” to initiate a product safety action may unduly prejudice the legitimate interests of product suppliers, and would not necessarily result in any better outcomes for consumers or eliminate all possible product risks.</w:t>
      </w:r>
      <w:r w:rsidR="00FB6D04" w:rsidRPr="00E35F91">
        <w:rPr>
          <w:rFonts w:ascii="Segoe UI" w:hAnsi="Segoe UI" w:cs="Segoe UI"/>
          <w:color w:val="auto"/>
          <w:sz w:val="20"/>
        </w:rPr>
        <w:t xml:space="preserve">   </w:t>
      </w:r>
      <w:r w:rsidRPr="00E35F91">
        <w:rPr>
          <w:rFonts w:ascii="Segoe UI" w:hAnsi="Segoe UI" w:cs="Segoe UI"/>
          <w:color w:val="auto"/>
          <w:sz w:val="20"/>
        </w:rPr>
        <w:t xml:space="preserve">An alternative to referral to the responsible Minister </w:t>
      </w:r>
      <w:r w:rsidR="00FB6D04" w:rsidRPr="00E35F91">
        <w:rPr>
          <w:rFonts w:ascii="Segoe UI" w:hAnsi="Segoe UI" w:cs="Segoe UI"/>
          <w:color w:val="auto"/>
          <w:sz w:val="20"/>
        </w:rPr>
        <w:t>may</w:t>
      </w:r>
      <w:r w:rsidRPr="00E35F91">
        <w:rPr>
          <w:rFonts w:ascii="Segoe UI" w:hAnsi="Segoe UI" w:cs="Segoe UI"/>
          <w:color w:val="auto"/>
          <w:sz w:val="20"/>
        </w:rPr>
        <w:t xml:space="preserve"> be for the regulator to seek an order </w:t>
      </w:r>
      <w:r w:rsidR="00FB6D04" w:rsidRPr="00E35F91">
        <w:rPr>
          <w:rFonts w:ascii="Segoe UI" w:hAnsi="Segoe UI" w:cs="Segoe UI"/>
          <w:color w:val="auto"/>
          <w:sz w:val="20"/>
        </w:rPr>
        <w:t>from a</w:t>
      </w:r>
      <w:r w:rsidRPr="00E35F91">
        <w:rPr>
          <w:rFonts w:ascii="Segoe UI" w:hAnsi="Segoe UI" w:cs="Segoe UI"/>
          <w:color w:val="auto"/>
          <w:sz w:val="20"/>
        </w:rPr>
        <w:t xml:space="preserve"> court in respect of product bans or recalls, with provision for expedited hearings.</w:t>
      </w:r>
    </w:p>
    <w:p w:rsidR="00B95BB5" w:rsidRPr="00E35F91" w:rsidRDefault="00B95BB5" w:rsidP="00DC6360">
      <w:pPr>
        <w:pStyle w:val="ListParagraph"/>
        <w:numPr>
          <w:ilvl w:val="2"/>
          <w:numId w:val="12"/>
        </w:numPr>
        <w:tabs>
          <w:tab w:val="left" w:pos="720"/>
        </w:tabs>
        <w:spacing w:before="0" w:after="160" w:line="259" w:lineRule="auto"/>
        <w:jc w:val="both"/>
        <w:rPr>
          <w:rFonts w:ascii="Segoe UI" w:hAnsi="Segoe UI" w:cs="Segoe UI"/>
          <w:b/>
          <w:color w:val="auto"/>
          <w:sz w:val="20"/>
        </w:rPr>
      </w:pPr>
      <w:r w:rsidRPr="00E35F91">
        <w:rPr>
          <w:rFonts w:ascii="Segoe UI" w:hAnsi="Segoe UI" w:cs="Segoe UI"/>
          <w:b/>
          <w:color w:val="auto"/>
          <w:sz w:val="20"/>
        </w:rPr>
        <w:t>Public information about unsafe products</w:t>
      </w:r>
    </w:p>
    <w:p w:rsidR="00B95BB5" w:rsidRPr="00E35F91" w:rsidRDefault="00B95BB5" w:rsidP="00DC6360">
      <w:pPr>
        <w:pStyle w:val="TableTextLeft-NumberingAppB"/>
        <w:numPr>
          <w:ilvl w:val="0"/>
          <w:numId w:val="0"/>
        </w:numPr>
        <w:tabs>
          <w:tab w:val="clear" w:pos="340"/>
          <w:tab w:val="left" w:pos="450"/>
        </w:tabs>
        <w:ind w:left="360" w:hanging="360"/>
        <w:jc w:val="both"/>
        <w:rPr>
          <w:rFonts w:ascii="Segoe UI" w:hAnsi="Segoe UI" w:cs="Segoe UI"/>
          <w:i/>
          <w:color w:val="002060"/>
        </w:rPr>
      </w:pPr>
      <w:r w:rsidRPr="00E35F91">
        <w:rPr>
          <w:rFonts w:ascii="Segoe UI" w:hAnsi="Segoe UI" w:cs="Segoe UI"/>
          <w:i/>
          <w:color w:val="002060"/>
        </w:rPr>
        <w:lastRenderedPageBreak/>
        <w:t>36.   Is there scope to improve the quality of information available to consumers on safety risks? If so:</w:t>
      </w:r>
    </w:p>
    <w:p w:rsidR="00B95BB5" w:rsidRPr="00E35F91" w:rsidRDefault="00B95BB5" w:rsidP="00DC6360">
      <w:pPr>
        <w:pStyle w:val="TableTextLeft-NumberingAppB"/>
        <w:numPr>
          <w:ilvl w:val="0"/>
          <w:numId w:val="14"/>
        </w:numPr>
        <w:tabs>
          <w:tab w:val="clear" w:pos="340"/>
          <w:tab w:val="left" w:pos="450"/>
        </w:tabs>
        <w:jc w:val="both"/>
        <w:rPr>
          <w:rFonts w:ascii="Segoe UI" w:hAnsi="Segoe UI" w:cs="Segoe UI"/>
          <w:i/>
          <w:color w:val="002060"/>
        </w:rPr>
      </w:pPr>
      <w:r w:rsidRPr="00E35F91">
        <w:rPr>
          <w:rFonts w:ascii="Segoe UI" w:hAnsi="Segoe UI" w:cs="Segoe UI"/>
          <w:i/>
          <w:color w:val="002060"/>
        </w:rPr>
        <w:t>What are the benefits of increased information, and what costs, risks or challenges need to be considered?</w:t>
      </w:r>
    </w:p>
    <w:p w:rsidR="00B95BB5" w:rsidRPr="00E35F91" w:rsidRDefault="00B95BB5" w:rsidP="00DC6360">
      <w:pPr>
        <w:pStyle w:val="TableTextLeft-NumberingAppB"/>
        <w:numPr>
          <w:ilvl w:val="0"/>
          <w:numId w:val="14"/>
        </w:numPr>
        <w:tabs>
          <w:tab w:val="clear" w:pos="340"/>
          <w:tab w:val="left" w:pos="450"/>
        </w:tabs>
        <w:jc w:val="both"/>
        <w:rPr>
          <w:rFonts w:ascii="Segoe UI" w:hAnsi="Segoe UI" w:cs="Segoe UI"/>
          <w:i/>
          <w:color w:val="002060"/>
        </w:rPr>
      </w:pPr>
      <w:r w:rsidRPr="00E35F91">
        <w:rPr>
          <w:rFonts w:ascii="Segoe UI" w:hAnsi="Segoe UI" w:cs="Segoe UI"/>
          <w:i/>
          <w:color w:val="002060"/>
        </w:rPr>
        <w:t>What information is most helpful to consumers, and how should it be used? In a context of finite resources, what information should be prioritised?</w:t>
      </w:r>
    </w:p>
    <w:p w:rsidR="00B95BB5" w:rsidRPr="00E35F91" w:rsidRDefault="00B95BB5" w:rsidP="00DC6360">
      <w:pPr>
        <w:pStyle w:val="TableTextLeft-NumberingAppB"/>
        <w:numPr>
          <w:ilvl w:val="0"/>
          <w:numId w:val="14"/>
        </w:numPr>
        <w:tabs>
          <w:tab w:val="clear" w:pos="340"/>
          <w:tab w:val="left" w:pos="450"/>
        </w:tabs>
        <w:jc w:val="both"/>
        <w:rPr>
          <w:rFonts w:ascii="Segoe UI" w:hAnsi="Segoe UI" w:cs="Segoe UI"/>
          <w:i/>
          <w:color w:val="002060"/>
        </w:rPr>
      </w:pPr>
      <w:r w:rsidRPr="00E35F91">
        <w:rPr>
          <w:rFonts w:ascii="Segoe UI" w:hAnsi="Segoe UI" w:cs="Segoe UI"/>
          <w:i/>
          <w:color w:val="002060"/>
        </w:rPr>
        <w:t>How could this be achieved? For example, in what format should information be provided?</w:t>
      </w:r>
    </w:p>
    <w:p w:rsidR="00B95BB5" w:rsidRPr="00E35F91" w:rsidRDefault="00B95BB5"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 xml:space="preserve">Consumers already have access to a range of information about product safety </w:t>
      </w:r>
      <w:r w:rsidR="007E7898" w:rsidRPr="00E35F91">
        <w:rPr>
          <w:rFonts w:ascii="Segoe UI" w:hAnsi="Segoe UI" w:cs="Segoe UI"/>
          <w:color w:val="auto"/>
          <w:sz w:val="20"/>
        </w:rPr>
        <w:t>risks.</w:t>
      </w:r>
      <w:r w:rsidR="008A3FE4" w:rsidRPr="00E35F91">
        <w:rPr>
          <w:rStyle w:val="FootnoteReference"/>
          <w:rFonts w:ascii="Segoe UI" w:hAnsi="Segoe UI" w:cs="Segoe UI"/>
          <w:color w:val="auto"/>
          <w:sz w:val="20"/>
        </w:rPr>
        <w:footnoteReference w:id="6"/>
      </w:r>
      <w:r w:rsidR="007E7898" w:rsidRPr="00E35F91">
        <w:rPr>
          <w:rFonts w:ascii="Segoe UI" w:hAnsi="Segoe UI" w:cs="Segoe UI"/>
          <w:color w:val="auto"/>
          <w:sz w:val="20"/>
        </w:rPr>
        <w:t xml:space="preserve">   </w:t>
      </w:r>
      <w:r w:rsidR="00F23065" w:rsidRPr="00E35F91">
        <w:rPr>
          <w:rFonts w:ascii="Segoe UI" w:hAnsi="Segoe UI" w:cs="Segoe UI"/>
          <w:color w:val="auto"/>
          <w:sz w:val="20"/>
        </w:rPr>
        <w:t xml:space="preserve">This should remain the </w:t>
      </w:r>
      <w:r w:rsidRPr="00E35F91">
        <w:rPr>
          <w:rFonts w:ascii="Segoe UI" w:hAnsi="Segoe UI" w:cs="Segoe UI"/>
          <w:color w:val="auto"/>
          <w:sz w:val="20"/>
        </w:rPr>
        <w:t xml:space="preserve">primary source of information </w:t>
      </w:r>
      <w:r w:rsidR="00F23065" w:rsidRPr="00E35F91">
        <w:rPr>
          <w:rFonts w:ascii="Segoe UI" w:hAnsi="Segoe UI" w:cs="Segoe UI"/>
          <w:color w:val="auto"/>
          <w:sz w:val="20"/>
        </w:rPr>
        <w:t xml:space="preserve">on </w:t>
      </w:r>
      <w:r w:rsidRPr="00E35F91">
        <w:rPr>
          <w:rFonts w:ascii="Segoe UI" w:hAnsi="Segoe UI" w:cs="Segoe UI"/>
          <w:color w:val="auto"/>
          <w:sz w:val="20"/>
        </w:rPr>
        <w:t xml:space="preserve">identified risks.  Information published on this website is invariably the subject of further reporting and media publicity.  </w:t>
      </w:r>
    </w:p>
    <w:p w:rsidR="00B95BB5" w:rsidRPr="00E35F91" w:rsidRDefault="00B95BB5"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Giving consumers access to more information does not necessarily lead to greater quality of information or balanced outcomes for business and consumers.</w:t>
      </w:r>
      <w:r w:rsidR="007E7898" w:rsidRPr="00E35F91">
        <w:rPr>
          <w:rFonts w:ascii="Segoe UI" w:hAnsi="Segoe UI" w:cs="Segoe UI"/>
          <w:color w:val="auto"/>
          <w:sz w:val="20"/>
        </w:rPr>
        <w:t xml:space="preserve">   </w:t>
      </w:r>
      <w:r w:rsidRPr="00E35F91">
        <w:rPr>
          <w:rFonts w:ascii="Segoe UI" w:hAnsi="Segoe UI" w:cs="Segoe UI"/>
          <w:color w:val="auto"/>
          <w:sz w:val="20"/>
        </w:rPr>
        <w:t>Information that is inaccurate or incomplete may mislead consumers into believing there is a safety risk with a particular product, when in fact th</w:t>
      </w:r>
      <w:r w:rsidR="007E7898" w:rsidRPr="00E35F91">
        <w:rPr>
          <w:rFonts w:ascii="Segoe UI" w:hAnsi="Segoe UI" w:cs="Segoe UI"/>
          <w:color w:val="auto"/>
          <w:sz w:val="20"/>
        </w:rPr>
        <w:t>e</w:t>
      </w:r>
      <w:r w:rsidRPr="00E35F91">
        <w:rPr>
          <w:rFonts w:ascii="Segoe UI" w:hAnsi="Segoe UI" w:cs="Segoe UI"/>
          <w:color w:val="auto"/>
          <w:sz w:val="20"/>
        </w:rPr>
        <w:t xml:space="preserve"> risk is non-existent or overstated.  This would also </w:t>
      </w:r>
      <w:r w:rsidR="00FB246D" w:rsidRPr="00E35F91">
        <w:rPr>
          <w:rFonts w:ascii="Segoe UI" w:hAnsi="Segoe UI" w:cs="Segoe UI"/>
          <w:color w:val="auto"/>
          <w:sz w:val="20"/>
        </w:rPr>
        <w:t>u</w:t>
      </w:r>
      <w:r w:rsidRPr="00E35F91">
        <w:rPr>
          <w:rFonts w:ascii="Segoe UI" w:hAnsi="Segoe UI" w:cs="Segoe UI"/>
          <w:color w:val="auto"/>
          <w:sz w:val="20"/>
        </w:rPr>
        <w:t xml:space="preserve">nduly </w:t>
      </w:r>
      <w:r w:rsidR="00FB246D" w:rsidRPr="00E35F91">
        <w:rPr>
          <w:rFonts w:ascii="Segoe UI" w:hAnsi="Segoe UI" w:cs="Segoe UI"/>
          <w:color w:val="auto"/>
          <w:sz w:val="20"/>
        </w:rPr>
        <w:t xml:space="preserve">harm </w:t>
      </w:r>
      <w:r w:rsidRPr="00E35F91">
        <w:rPr>
          <w:rFonts w:ascii="Segoe UI" w:hAnsi="Segoe UI" w:cs="Segoe UI"/>
          <w:color w:val="auto"/>
          <w:sz w:val="20"/>
        </w:rPr>
        <w:t>the interests of the product supplier.</w:t>
      </w:r>
      <w:r w:rsidR="00F23065" w:rsidRPr="00E35F91">
        <w:rPr>
          <w:rFonts w:ascii="Segoe UI" w:hAnsi="Segoe UI" w:cs="Segoe UI"/>
          <w:color w:val="auto"/>
          <w:sz w:val="20"/>
        </w:rPr>
        <w:t xml:space="preserve">   </w:t>
      </w:r>
      <w:r w:rsidRPr="00E35F91">
        <w:rPr>
          <w:rFonts w:ascii="Segoe UI" w:hAnsi="Segoe UI" w:cs="Segoe UI"/>
          <w:color w:val="auto"/>
          <w:sz w:val="20"/>
        </w:rPr>
        <w:t>There is sufficient allowance in the current law and guidelines for regulators to monitor the effectiveness of voluntary recall actions and ensure effective communication with consumers, without the need to require publication of results about the outcomes of voluntary recalls.</w:t>
      </w:r>
    </w:p>
    <w:p w:rsidR="00B95BB5" w:rsidRPr="00E35F91" w:rsidRDefault="00B95BB5"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DSA does not support the introduction of a mandatory register for consumer products.  As</w:t>
      </w:r>
      <w:r w:rsidR="00F23065" w:rsidRPr="00E35F91">
        <w:rPr>
          <w:rFonts w:ascii="Segoe UI" w:hAnsi="Segoe UI" w:cs="Segoe UI"/>
          <w:color w:val="auto"/>
          <w:sz w:val="20"/>
        </w:rPr>
        <w:t xml:space="preserve"> th</w:t>
      </w:r>
      <w:r w:rsidRPr="00E35F91">
        <w:rPr>
          <w:rFonts w:ascii="Segoe UI" w:hAnsi="Segoe UI" w:cs="Segoe UI"/>
          <w:color w:val="auto"/>
          <w:sz w:val="20"/>
        </w:rPr>
        <w:t xml:space="preserve">e </w:t>
      </w:r>
      <w:r w:rsidR="00F23065" w:rsidRPr="00E35F91">
        <w:rPr>
          <w:rFonts w:ascii="Segoe UI" w:hAnsi="Segoe UI" w:cs="Segoe UI"/>
          <w:color w:val="auto"/>
          <w:sz w:val="20"/>
        </w:rPr>
        <w:t>Interim Report notes</w:t>
      </w:r>
      <w:r w:rsidRPr="00E35F91">
        <w:rPr>
          <w:rFonts w:ascii="Segoe UI" w:hAnsi="Segoe UI" w:cs="Segoe UI"/>
          <w:color w:val="auto"/>
          <w:sz w:val="20"/>
        </w:rPr>
        <w:t xml:space="preserve">, this would </w:t>
      </w:r>
      <w:r w:rsidR="00F23065" w:rsidRPr="00E35F91">
        <w:rPr>
          <w:rFonts w:ascii="Segoe UI" w:hAnsi="Segoe UI" w:cs="Segoe UI"/>
          <w:color w:val="auto"/>
          <w:sz w:val="20"/>
        </w:rPr>
        <w:t>involve</w:t>
      </w:r>
      <w:r w:rsidRPr="00E35F91">
        <w:rPr>
          <w:rFonts w:ascii="Segoe UI" w:hAnsi="Segoe UI" w:cs="Segoe UI"/>
          <w:color w:val="auto"/>
          <w:sz w:val="20"/>
        </w:rPr>
        <w:t xml:space="preserve"> substantial compliance costs and raise privacy concerns, without any obvious and overriding consumer benefit.</w:t>
      </w:r>
      <w:r w:rsidR="00FB246D" w:rsidRPr="00E35F91">
        <w:rPr>
          <w:rFonts w:ascii="Segoe UI" w:hAnsi="Segoe UI" w:cs="Segoe UI"/>
          <w:color w:val="auto"/>
          <w:sz w:val="20"/>
        </w:rPr>
        <w:t xml:space="preserve">   </w:t>
      </w:r>
      <w:r w:rsidRPr="00E35F91">
        <w:rPr>
          <w:rFonts w:ascii="Segoe UI" w:hAnsi="Segoe UI" w:cs="Segoe UI"/>
          <w:color w:val="auto"/>
          <w:sz w:val="20"/>
        </w:rPr>
        <w:t>DSA member</w:t>
      </w:r>
      <w:r w:rsidR="00F23065" w:rsidRPr="00E35F91">
        <w:rPr>
          <w:rFonts w:ascii="Segoe UI" w:hAnsi="Segoe UI" w:cs="Segoe UI"/>
          <w:color w:val="auto"/>
          <w:sz w:val="20"/>
        </w:rPr>
        <w:t>s</w:t>
      </w:r>
      <w:r w:rsidRPr="00E35F91">
        <w:rPr>
          <w:rFonts w:ascii="Segoe UI" w:hAnsi="Segoe UI" w:cs="Segoe UI"/>
          <w:color w:val="auto"/>
          <w:sz w:val="20"/>
        </w:rPr>
        <w:t xml:space="preserve"> and</w:t>
      </w:r>
      <w:r w:rsidR="00F23065" w:rsidRPr="00E35F91">
        <w:rPr>
          <w:rFonts w:ascii="Segoe UI" w:hAnsi="Segoe UI" w:cs="Segoe UI"/>
          <w:color w:val="auto"/>
          <w:sz w:val="20"/>
        </w:rPr>
        <w:t xml:space="preserve"> their distributors</w:t>
      </w:r>
      <w:r w:rsidRPr="00E35F91">
        <w:rPr>
          <w:rFonts w:ascii="Segoe UI" w:hAnsi="Segoe UI" w:cs="Segoe UI"/>
          <w:color w:val="auto"/>
          <w:sz w:val="20"/>
        </w:rPr>
        <w:t xml:space="preserve"> already recognise </w:t>
      </w:r>
      <w:r w:rsidR="00F23065" w:rsidRPr="00E35F91">
        <w:rPr>
          <w:rFonts w:ascii="Segoe UI" w:hAnsi="Segoe UI" w:cs="Segoe UI"/>
          <w:color w:val="auto"/>
          <w:sz w:val="20"/>
        </w:rPr>
        <w:t>and value</w:t>
      </w:r>
      <w:r w:rsidRPr="00E35F91">
        <w:rPr>
          <w:rFonts w:ascii="Segoe UI" w:hAnsi="Segoe UI" w:cs="Segoe UI"/>
          <w:color w:val="auto"/>
          <w:sz w:val="20"/>
        </w:rPr>
        <w:t xml:space="preserve"> </w:t>
      </w:r>
      <w:r w:rsidR="00236436" w:rsidRPr="00E35F91">
        <w:rPr>
          <w:rFonts w:ascii="Segoe UI" w:hAnsi="Segoe UI" w:cs="Segoe UI"/>
          <w:color w:val="auto"/>
          <w:sz w:val="20"/>
        </w:rPr>
        <w:t>ongoing</w:t>
      </w:r>
      <w:r w:rsidRPr="00E35F91">
        <w:rPr>
          <w:rFonts w:ascii="Segoe UI" w:hAnsi="Segoe UI" w:cs="Segoe UI"/>
          <w:color w:val="auto"/>
          <w:sz w:val="20"/>
        </w:rPr>
        <w:t xml:space="preserve"> contact and relationships with their customers.  This will continue to increase as more business and communications are carried out via social media, rather than at a physical contact address.</w:t>
      </w:r>
    </w:p>
    <w:p w:rsidR="00B95BB5" w:rsidRPr="00E35F91" w:rsidRDefault="00B95BB5"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DSA does not support the publication of mandatory reports of product related deaths or serious injury or illness.  Such a requirement would be counter-productive in providing businesses with a disincentive to report.  The regulator is best placed to make an assessment of mandatory reports in consultation with suppliers and investigate whether further action should be taken, without the need to open that information to what could be misinformed public debate.</w:t>
      </w:r>
    </w:p>
    <w:p w:rsidR="00B95BB5" w:rsidRPr="00E35F91" w:rsidRDefault="00B95BB5" w:rsidP="00DC6360">
      <w:pPr>
        <w:pStyle w:val="ListParagraph"/>
        <w:numPr>
          <w:ilvl w:val="1"/>
          <w:numId w:val="12"/>
        </w:numPr>
        <w:tabs>
          <w:tab w:val="left" w:pos="540"/>
        </w:tabs>
        <w:spacing w:before="0" w:after="160" w:line="259" w:lineRule="auto"/>
        <w:jc w:val="both"/>
        <w:rPr>
          <w:rFonts w:ascii="Segoe UI" w:hAnsi="Segoe UI" w:cs="Segoe UI"/>
          <w:b/>
          <w:color w:val="auto"/>
          <w:sz w:val="20"/>
        </w:rPr>
      </w:pPr>
      <w:r w:rsidRPr="00E35F91">
        <w:rPr>
          <w:rFonts w:ascii="Segoe UI" w:hAnsi="Segoe UI" w:cs="Segoe UI"/>
          <w:b/>
          <w:color w:val="auto"/>
          <w:sz w:val="20"/>
        </w:rPr>
        <w:t>Unconscionable conduct and unfair trading</w:t>
      </w:r>
    </w:p>
    <w:p w:rsidR="00B95BB5" w:rsidRPr="00E35F91" w:rsidRDefault="00B95BB5" w:rsidP="00DC6360">
      <w:pPr>
        <w:tabs>
          <w:tab w:val="left" w:pos="720"/>
        </w:tabs>
        <w:spacing w:before="0" w:after="160" w:line="259" w:lineRule="auto"/>
        <w:jc w:val="both"/>
        <w:rPr>
          <w:rFonts w:ascii="Segoe UI" w:hAnsi="Segoe UI" w:cs="Segoe UI"/>
          <w:b/>
          <w:color w:val="auto"/>
          <w:sz w:val="20"/>
        </w:rPr>
      </w:pPr>
      <w:r w:rsidRPr="00E35F91">
        <w:rPr>
          <w:rFonts w:ascii="Segoe UI" w:hAnsi="Segoe UI" w:cs="Segoe UI"/>
          <w:b/>
          <w:color w:val="auto"/>
          <w:sz w:val="20"/>
        </w:rPr>
        <w:t>2.3.2   Are the provisions working effectively?</w:t>
      </w:r>
    </w:p>
    <w:p w:rsidR="00B95BB5" w:rsidRPr="00E35F91" w:rsidRDefault="00B95BB5" w:rsidP="00DC6360">
      <w:pPr>
        <w:pStyle w:val="TableTextLeft-NumberingAppB"/>
        <w:numPr>
          <w:ilvl w:val="0"/>
          <w:numId w:val="0"/>
        </w:numPr>
        <w:tabs>
          <w:tab w:val="clear" w:pos="340"/>
          <w:tab w:val="left" w:pos="450"/>
        </w:tabs>
        <w:ind w:left="360" w:hanging="360"/>
        <w:jc w:val="both"/>
        <w:rPr>
          <w:rFonts w:ascii="Segoe UI" w:hAnsi="Segoe UI" w:cs="Segoe UI"/>
          <w:i/>
          <w:color w:val="002060"/>
        </w:rPr>
      </w:pPr>
      <w:r w:rsidRPr="00E35F91">
        <w:rPr>
          <w:rFonts w:ascii="Segoe UI" w:hAnsi="Segoe UI" w:cs="Segoe UI"/>
          <w:i/>
          <w:color w:val="002060"/>
        </w:rPr>
        <w:t xml:space="preserve">37.  Is allowing the law on unconscionable conduct to develop an appropriate and proportionate response </w:t>
      </w:r>
      <w:r w:rsidR="0092187C" w:rsidRPr="00E35F91">
        <w:rPr>
          <w:rFonts w:ascii="Segoe UI" w:hAnsi="Segoe UI" w:cs="Segoe UI"/>
          <w:i/>
          <w:color w:val="002060"/>
        </w:rPr>
        <w:t>to the</w:t>
      </w:r>
      <w:r w:rsidRPr="00E35F91">
        <w:rPr>
          <w:rFonts w:ascii="Segoe UI" w:hAnsi="Segoe UI" w:cs="Segoe UI"/>
          <w:i/>
          <w:color w:val="002060"/>
        </w:rPr>
        <w:t xml:space="preserve"> issues raised, and to future issues that may arise?</w:t>
      </w:r>
    </w:p>
    <w:p w:rsidR="00B95BB5" w:rsidRPr="00E35F91" w:rsidRDefault="001F21E2"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DSA agrees.   T</w:t>
      </w:r>
      <w:r w:rsidR="00B95BB5" w:rsidRPr="00E35F91">
        <w:rPr>
          <w:rFonts w:ascii="Segoe UI" w:hAnsi="Segoe UI" w:cs="Segoe UI"/>
          <w:color w:val="auto"/>
          <w:sz w:val="20"/>
        </w:rPr>
        <w:t xml:space="preserve">he </w:t>
      </w:r>
      <w:r w:rsidRPr="00E35F91">
        <w:rPr>
          <w:rFonts w:ascii="Segoe UI" w:hAnsi="Segoe UI" w:cs="Segoe UI"/>
          <w:color w:val="auto"/>
          <w:sz w:val="20"/>
        </w:rPr>
        <w:t>Interim Report</w:t>
      </w:r>
      <w:r w:rsidR="00B95BB5" w:rsidRPr="00E35F91">
        <w:rPr>
          <w:rFonts w:ascii="Segoe UI" w:hAnsi="Segoe UI" w:cs="Segoe UI"/>
          <w:color w:val="auto"/>
          <w:sz w:val="20"/>
        </w:rPr>
        <w:t xml:space="preserve"> records</w:t>
      </w:r>
      <w:r w:rsidR="003F22E3" w:rsidRPr="00E35F91">
        <w:rPr>
          <w:rFonts w:ascii="Segoe UI" w:hAnsi="Segoe UI" w:cs="Segoe UI"/>
          <w:color w:val="auto"/>
          <w:sz w:val="20"/>
        </w:rPr>
        <w:t xml:space="preserve"> that</w:t>
      </w:r>
      <w:r w:rsidR="00B95BB5" w:rsidRPr="00E35F91">
        <w:rPr>
          <w:rFonts w:ascii="Segoe UI" w:hAnsi="Segoe UI" w:cs="Segoe UI"/>
          <w:color w:val="auto"/>
          <w:sz w:val="20"/>
        </w:rPr>
        <w:t xml:space="preserve"> the existing provisions</w:t>
      </w:r>
      <w:r w:rsidR="00FB246D" w:rsidRPr="00E35F91">
        <w:rPr>
          <w:rFonts w:ascii="Segoe UI" w:hAnsi="Segoe UI" w:cs="Segoe UI"/>
          <w:color w:val="auto"/>
          <w:sz w:val="20"/>
        </w:rPr>
        <w:t xml:space="preserve"> with judicial clarity</w:t>
      </w:r>
      <w:r w:rsidR="00B95BB5" w:rsidRPr="00E35F91">
        <w:rPr>
          <w:rFonts w:ascii="Segoe UI" w:hAnsi="Segoe UI" w:cs="Segoe UI"/>
          <w:color w:val="auto"/>
          <w:sz w:val="20"/>
        </w:rPr>
        <w:t xml:space="preserve"> are working as intended and there will inevitably remain different views on their interpretation.   </w:t>
      </w:r>
    </w:p>
    <w:p w:rsidR="00B95BB5" w:rsidRPr="00E35F91" w:rsidRDefault="00B95BB5" w:rsidP="00DC6360">
      <w:pPr>
        <w:pStyle w:val="TableTextLeft-NumberingAppB"/>
        <w:numPr>
          <w:ilvl w:val="0"/>
          <w:numId w:val="0"/>
        </w:numPr>
        <w:tabs>
          <w:tab w:val="clear" w:pos="340"/>
          <w:tab w:val="left" w:pos="450"/>
        </w:tabs>
        <w:ind w:left="360" w:hanging="360"/>
        <w:jc w:val="both"/>
        <w:rPr>
          <w:rFonts w:ascii="Segoe UI" w:hAnsi="Segoe UI" w:cs="Segoe UI"/>
          <w:i/>
          <w:color w:val="002060"/>
        </w:rPr>
      </w:pPr>
      <w:r w:rsidRPr="00E35F91">
        <w:rPr>
          <w:rFonts w:ascii="Segoe UI" w:hAnsi="Segoe UI" w:cs="Segoe UI"/>
          <w:i/>
          <w:color w:val="002060"/>
        </w:rPr>
        <w:t>38.  What are the consequences, risks and challenges of maintaining the status quo, compared with changing the law or codifying existing principles? Are there any better approaches that would address the issues raised while allowing concepts to develop in a flexible way?</w:t>
      </w:r>
    </w:p>
    <w:p w:rsidR="0098542C" w:rsidRDefault="00B95BB5"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lastRenderedPageBreak/>
        <w:t xml:space="preserve">Maintaining the status quo </w:t>
      </w:r>
      <w:r w:rsidR="001F21E2" w:rsidRPr="00E35F91">
        <w:rPr>
          <w:rFonts w:ascii="Segoe UI" w:hAnsi="Segoe UI" w:cs="Segoe UI"/>
          <w:color w:val="auto"/>
          <w:sz w:val="20"/>
        </w:rPr>
        <w:t>in a</w:t>
      </w:r>
      <w:r w:rsidRPr="00E35F91">
        <w:rPr>
          <w:rFonts w:ascii="Segoe UI" w:hAnsi="Segoe UI" w:cs="Segoe UI"/>
          <w:color w:val="auto"/>
          <w:sz w:val="20"/>
        </w:rPr>
        <w:t xml:space="preserve"> </w:t>
      </w:r>
      <w:r w:rsidR="00B55EF2" w:rsidRPr="00E35F91">
        <w:rPr>
          <w:rFonts w:ascii="Segoe UI" w:hAnsi="Segoe UI" w:cs="Segoe UI"/>
          <w:color w:val="auto"/>
          <w:sz w:val="20"/>
        </w:rPr>
        <w:t>principle-based</w:t>
      </w:r>
      <w:r w:rsidRPr="00E35F91">
        <w:rPr>
          <w:rFonts w:ascii="Segoe UI" w:hAnsi="Segoe UI" w:cs="Segoe UI"/>
          <w:color w:val="auto"/>
          <w:sz w:val="20"/>
        </w:rPr>
        <w:t xml:space="preserve"> approach allows the law to adapt and evolve in response to changing societal values, and individual circumstances.  </w:t>
      </w:r>
      <w:r w:rsidR="001F21E2" w:rsidRPr="00E35F91">
        <w:rPr>
          <w:rFonts w:ascii="Segoe UI" w:hAnsi="Segoe UI" w:cs="Segoe UI"/>
          <w:color w:val="auto"/>
          <w:sz w:val="20"/>
        </w:rPr>
        <w:t>Changing the law or codifying</w:t>
      </w:r>
      <w:r w:rsidRPr="00E35F91">
        <w:rPr>
          <w:rFonts w:ascii="Segoe UI" w:hAnsi="Segoe UI" w:cs="Segoe UI"/>
          <w:color w:val="auto"/>
          <w:sz w:val="20"/>
        </w:rPr>
        <w:t xml:space="preserve"> existing principles would </w:t>
      </w:r>
      <w:r w:rsidR="001F21E2" w:rsidRPr="00E35F91">
        <w:rPr>
          <w:rFonts w:ascii="Segoe UI" w:hAnsi="Segoe UI" w:cs="Segoe UI"/>
          <w:color w:val="auto"/>
          <w:sz w:val="20"/>
        </w:rPr>
        <w:t>deny</w:t>
      </w:r>
      <w:r w:rsidRPr="00E35F91">
        <w:rPr>
          <w:rFonts w:ascii="Segoe UI" w:hAnsi="Segoe UI" w:cs="Segoe UI"/>
          <w:color w:val="auto"/>
          <w:sz w:val="20"/>
        </w:rPr>
        <w:t xml:space="preserve"> this flexibility without obvious consumer benefit, and would increase uncertainty and compliance </w:t>
      </w:r>
      <w:r w:rsidR="00E91F7C" w:rsidRPr="00E35F91">
        <w:rPr>
          <w:rFonts w:ascii="Segoe UI" w:hAnsi="Segoe UI" w:cs="Segoe UI"/>
          <w:color w:val="auto"/>
          <w:sz w:val="20"/>
        </w:rPr>
        <w:t>cost</w:t>
      </w:r>
      <w:r w:rsidRPr="00E35F91">
        <w:rPr>
          <w:rFonts w:ascii="Segoe UI" w:hAnsi="Segoe UI" w:cs="Segoe UI"/>
          <w:color w:val="auto"/>
          <w:sz w:val="20"/>
        </w:rPr>
        <w:t xml:space="preserve"> for businesses.   An obvious outcome of this approach can be seen from </w:t>
      </w:r>
      <w:r w:rsidR="00FB246D" w:rsidRPr="00E35F91">
        <w:rPr>
          <w:rFonts w:ascii="Segoe UI" w:hAnsi="Segoe UI" w:cs="Segoe UI"/>
          <w:color w:val="auto"/>
          <w:sz w:val="20"/>
        </w:rPr>
        <w:t xml:space="preserve">the </w:t>
      </w:r>
      <w:r w:rsidRPr="00E35F91">
        <w:rPr>
          <w:rFonts w:ascii="Segoe UI" w:hAnsi="Segoe UI" w:cs="Segoe UI"/>
          <w:color w:val="auto"/>
          <w:sz w:val="20"/>
        </w:rPr>
        <w:t>unsolicited selling provisions’ inability to match market dynamics.</w:t>
      </w:r>
    </w:p>
    <w:p w:rsidR="00E35F91" w:rsidRDefault="00E35F91" w:rsidP="00DC6360">
      <w:pPr>
        <w:tabs>
          <w:tab w:val="left" w:pos="540"/>
        </w:tabs>
        <w:spacing w:before="0" w:after="160" w:line="259" w:lineRule="auto"/>
        <w:jc w:val="both"/>
        <w:rPr>
          <w:rFonts w:ascii="Segoe UI" w:hAnsi="Segoe UI" w:cs="Segoe UI"/>
          <w:color w:val="auto"/>
          <w:sz w:val="20"/>
        </w:rPr>
      </w:pPr>
    </w:p>
    <w:p w:rsidR="00E35F91" w:rsidRPr="00E35F91" w:rsidRDefault="00E35F91" w:rsidP="00DC6360">
      <w:pPr>
        <w:tabs>
          <w:tab w:val="left" w:pos="540"/>
        </w:tabs>
        <w:spacing w:before="0" w:after="160" w:line="259" w:lineRule="auto"/>
        <w:jc w:val="both"/>
        <w:rPr>
          <w:rFonts w:ascii="Segoe UI" w:hAnsi="Segoe UI" w:cs="Segoe UI"/>
          <w:color w:val="auto"/>
          <w:sz w:val="20"/>
        </w:rPr>
      </w:pPr>
    </w:p>
    <w:p w:rsidR="0092187C" w:rsidRPr="00E35F91" w:rsidRDefault="0092187C" w:rsidP="00DC6360">
      <w:pPr>
        <w:tabs>
          <w:tab w:val="left" w:pos="720"/>
        </w:tabs>
        <w:spacing w:before="0" w:after="160" w:line="259" w:lineRule="auto"/>
        <w:jc w:val="both"/>
        <w:rPr>
          <w:rFonts w:ascii="Segoe UI" w:hAnsi="Segoe UI" w:cs="Segoe UI"/>
          <w:b/>
          <w:color w:val="auto"/>
          <w:sz w:val="20"/>
        </w:rPr>
      </w:pPr>
      <w:r w:rsidRPr="00E35F91">
        <w:rPr>
          <w:rFonts w:ascii="Segoe UI" w:hAnsi="Segoe UI" w:cs="Segoe UI"/>
          <w:b/>
          <w:color w:val="auto"/>
          <w:sz w:val="20"/>
        </w:rPr>
        <w:t>2.3.3   Unconscionable conduct and public listed companies</w:t>
      </w:r>
    </w:p>
    <w:p w:rsidR="0092187C" w:rsidRPr="00E35F91" w:rsidRDefault="0092187C" w:rsidP="00DC6360">
      <w:pPr>
        <w:pStyle w:val="TableTextLeft-NumberingAppB"/>
        <w:numPr>
          <w:ilvl w:val="0"/>
          <w:numId w:val="0"/>
        </w:numPr>
        <w:tabs>
          <w:tab w:val="clear" w:pos="340"/>
          <w:tab w:val="left" w:pos="450"/>
        </w:tabs>
        <w:ind w:left="360" w:hanging="360"/>
        <w:jc w:val="both"/>
        <w:rPr>
          <w:rFonts w:ascii="Segoe UI" w:hAnsi="Segoe UI" w:cs="Segoe UI"/>
          <w:i/>
          <w:color w:val="002060"/>
        </w:rPr>
      </w:pPr>
      <w:r w:rsidRPr="00E35F91">
        <w:rPr>
          <w:rFonts w:ascii="Segoe UI" w:hAnsi="Segoe UI" w:cs="Segoe UI"/>
          <w:i/>
          <w:color w:val="002060"/>
        </w:rPr>
        <w:t>39. Is it appropriate to continue to exclude publicly listed companies from the unconscionable conduct provisions and, if so, why?</w:t>
      </w:r>
    </w:p>
    <w:p w:rsidR="0092187C" w:rsidRPr="00E35F91" w:rsidRDefault="0092187C"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 xml:space="preserve">Publicly listed companies should have the resources to protect themselves, and are not typically exposed to </w:t>
      </w:r>
      <w:r w:rsidR="00FB246D" w:rsidRPr="00E35F91">
        <w:rPr>
          <w:rFonts w:ascii="Segoe UI" w:hAnsi="Segoe UI" w:cs="Segoe UI"/>
          <w:color w:val="auto"/>
          <w:sz w:val="20"/>
        </w:rPr>
        <w:t>f</w:t>
      </w:r>
      <w:r w:rsidRPr="00E35F91">
        <w:rPr>
          <w:rFonts w:ascii="Segoe UI" w:hAnsi="Segoe UI" w:cs="Segoe UI"/>
          <w:color w:val="auto"/>
          <w:sz w:val="20"/>
        </w:rPr>
        <w:t>actors that a court would ordinarily have regard to in considering whether conduct was unconscionable.   Against review</w:t>
      </w:r>
      <w:r w:rsidR="00E91F7C" w:rsidRPr="00E35F91">
        <w:rPr>
          <w:rFonts w:ascii="Segoe UI" w:hAnsi="Segoe UI" w:cs="Segoe UI"/>
          <w:color w:val="auto"/>
          <w:sz w:val="20"/>
        </w:rPr>
        <w:t>ed</w:t>
      </w:r>
      <w:r w:rsidRPr="00E35F91">
        <w:rPr>
          <w:rFonts w:ascii="Segoe UI" w:hAnsi="Segoe UI" w:cs="Segoe UI"/>
          <w:color w:val="auto"/>
          <w:sz w:val="20"/>
        </w:rPr>
        <w:t xml:space="preserve"> criteria there is obviously a regulatory gap, but is there any evidence of “consumer” detriment, including vulnerability or disadvantage?   That said, the </w:t>
      </w:r>
      <w:r w:rsidR="003F22E3" w:rsidRPr="00E35F91">
        <w:rPr>
          <w:rFonts w:ascii="Segoe UI" w:hAnsi="Segoe UI" w:cs="Segoe UI"/>
          <w:color w:val="auto"/>
          <w:sz w:val="20"/>
        </w:rPr>
        <w:t xml:space="preserve">protection reaches </w:t>
      </w:r>
      <w:r w:rsidRPr="00E35F91">
        <w:rPr>
          <w:rFonts w:ascii="Segoe UI" w:hAnsi="Segoe UI" w:cs="Segoe UI"/>
          <w:color w:val="auto"/>
          <w:sz w:val="20"/>
        </w:rPr>
        <w:t xml:space="preserve">comparable </w:t>
      </w:r>
      <w:r w:rsidR="003F22E3" w:rsidRPr="00E35F91">
        <w:rPr>
          <w:rFonts w:ascii="Segoe UI" w:hAnsi="Segoe UI" w:cs="Segoe UI"/>
          <w:color w:val="auto"/>
          <w:sz w:val="20"/>
        </w:rPr>
        <w:t xml:space="preserve">non-listed </w:t>
      </w:r>
      <w:r w:rsidRPr="00E35F91">
        <w:rPr>
          <w:rFonts w:ascii="Segoe UI" w:hAnsi="Segoe UI" w:cs="Segoe UI"/>
          <w:color w:val="auto"/>
          <w:sz w:val="20"/>
        </w:rPr>
        <w:t>and competitive entities.</w:t>
      </w:r>
    </w:p>
    <w:p w:rsidR="0092187C" w:rsidRPr="00E35F91" w:rsidRDefault="0092187C" w:rsidP="00DC6360">
      <w:pPr>
        <w:pStyle w:val="TableTextLeft-NumberingAppB"/>
        <w:numPr>
          <w:ilvl w:val="0"/>
          <w:numId w:val="0"/>
        </w:numPr>
        <w:tabs>
          <w:tab w:val="clear" w:pos="340"/>
          <w:tab w:val="left" w:pos="450"/>
        </w:tabs>
        <w:ind w:left="360" w:hanging="360"/>
        <w:jc w:val="both"/>
        <w:rPr>
          <w:rFonts w:ascii="Segoe UI" w:hAnsi="Segoe UI" w:cs="Segoe UI"/>
          <w:i/>
          <w:color w:val="002060"/>
        </w:rPr>
      </w:pPr>
      <w:r w:rsidRPr="00E35F91">
        <w:rPr>
          <w:rFonts w:ascii="Segoe UI" w:hAnsi="Segoe UI" w:cs="Segoe UI"/>
          <w:i/>
          <w:color w:val="002060"/>
        </w:rPr>
        <w:t>40.   Should the unconscionable conduct provisions be extended to publicly listed companies?</w:t>
      </w:r>
    </w:p>
    <w:p w:rsidR="0092187C" w:rsidRPr="00E35F91" w:rsidRDefault="0092187C" w:rsidP="00DC6360">
      <w:pPr>
        <w:pStyle w:val="TableTextLeft-NumberingAppB"/>
        <w:numPr>
          <w:ilvl w:val="0"/>
          <w:numId w:val="15"/>
        </w:numPr>
        <w:tabs>
          <w:tab w:val="clear" w:pos="340"/>
          <w:tab w:val="left" w:pos="450"/>
        </w:tabs>
        <w:jc w:val="both"/>
        <w:rPr>
          <w:rFonts w:ascii="Segoe UI" w:hAnsi="Segoe UI" w:cs="Segoe UI"/>
          <w:i/>
          <w:color w:val="002060"/>
        </w:rPr>
      </w:pPr>
      <w:r w:rsidRPr="00E35F91">
        <w:rPr>
          <w:rFonts w:ascii="Segoe UI" w:hAnsi="Segoe UI" w:cs="Segoe UI"/>
          <w:i/>
          <w:color w:val="002060"/>
        </w:rPr>
        <w:t>What are the benefits for publicly listed companies?</w:t>
      </w:r>
    </w:p>
    <w:p w:rsidR="0092187C" w:rsidRPr="00E35F91" w:rsidRDefault="0092187C" w:rsidP="00DC6360">
      <w:pPr>
        <w:pStyle w:val="TableTextLeft-NumberingAppB"/>
        <w:numPr>
          <w:ilvl w:val="0"/>
          <w:numId w:val="15"/>
        </w:numPr>
        <w:tabs>
          <w:tab w:val="clear" w:pos="340"/>
          <w:tab w:val="left" w:pos="450"/>
        </w:tabs>
        <w:jc w:val="both"/>
        <w:rPr>
          <w:rFonts w:ascii="Segoe UI" w:hAnsi="Segoe UI" w:cs="Segoe UI"/>
          <w:i/>
          <w:color w:val="002060"/>
        </w:rPr>
      </w:pPr>
      <w:r w:rsidRPr="00E35F91">
        <w:rPr>
          <w:rFonts w:ascii="Segoe UI" w:hAnsi="Segoe UI" w:cs="Segoe UI"/>
          <w:i/>
          <w:color w:val="002060"/>
        </w:rPr>
        <w:t>What changes would other business need to make to their existing business practices and what are the associated costs?</w:t>
      </w:r>
    </w:p>
    <w:p w:rsidR="0092187C" w:rsidRPr="00E35F91" w:rsidRDefault="0092187C" w:rsidP="00DC6360">
      <w:pPr>
        <w:pStyle w:val="TableTextLeft-NumberingAppB"/>
        <w:numPr>
          <w:ilvl w:val="0"/>
          <w:numId w:val="15"/>
        </w:numPr>
        <w:tabs>
          <w:tab w:val="clear" w:pos="340"/>
          <w:tab w:val="left" w:pos="450"/>
        </w:tabs>
        <w:jc w:val="both"/>
        <w:rPr>
          <w:rFonts w:ascii="Segoe UI" w:hAnsi="Segoe UI" w:cs="Segoe UI"/>
          <w:i/>
          <w:color w:val="002060"/>
        </w:rPr>
      </w:pPr>
      <w:r w:rsidRPr="00E35F91">
        <w:rPr>
          <w:rFonts w:ascii="Segoe UI" w:hAnsi="Segoe UI" w:cs="Segoe UI"/>
          <w:i/>
          <w:color w:val="002060"/>
        </w:rPr>
        <w:t>Should the protections be extended to all publicly listed companies, or are some exceptions appropriate?</w:t>
      </w:r>
    </w:p>
    <w:p w:rsidR="0092187C" w:rsidRPr="00E35F91" w:rsidRDefault="0092187C" w:rsidP="00DC6360">
      <w:pPr>
        <w:pStyle w:val="TableTextLeft-Bullet-IndentAppB"/>
        <w:numPr>
          <w:ilvl w:val="0"/>
          <w:numId w:val="15"/>
        </w:numPr>
        <w:jc w:val="both"/>
        <w:rPr>
          <w:rFonts w:ascii="Segoe UI" w:hAnsi="Segoe UI" w:cs="Segoe UI"/>
          <w:i/>
          <w:color w:val="002060"/>
        </w:rPr>
      </w:pPr>
      <w:r w:rsidRPr="00E35F91">
        <w:rPr>
          <w:rFonts w:ascii="Segoe UI" w:hAnsi="Segoe UI" w:cs="Segoe UI"/>
          <w:i/>
          <w:color w:val="002060"/>
        </w:rPr>
        <w:t>Are there any unintended consequences, and how could these be addressed?</w:t>
      </w:r>
    </w:p>
    <w:p w:rsidR="00E55658" w:rsidRPr="00E35F91" w:rsidRDefault="0092187C" w:rsidP="00E55658">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No, for the reasons above.</w:t>
      </w:r>
    </w:p>
    <w:p w:rsidR="0092187C" w:rsidRPr="00E35F91" w:rsidRDefault="0092187C" w:rsidP="00E55658">
      <w:pPr>
        <w:tabs>
          <w:tab w:val="left" w:pos="540"/>
        </w:tabs>
        <w:spacing w:before="0" w:after="160" w:line="259" w:lineRule="auto"/>
        <w:jc w:val="both"/>
        <w:rPr>
          <w:rFonts w:ascii="Segoe UI" w:hAnsi="Segoe UI" w:cs="Segoe UI"/>
          <w:b/>
          <w:color w:val="auto"/>
          <w:sz w:val="20"/>
        </w:rPr>
      </w:pPr>
      <w:r w:rsidRPr="00E35F91">
        <w:rPr>
          <w:rFonts w:ascii="Segoe UI" w:hAnsi="Segoe UI" w:cs="Segoe UI"/>
          <w:b/>
          <w:color w:val="auto"/>
          <w:sz w:val="20"/>
        </w:rPr>
        <w:t>2.3.4   Unfair trading</w:t>
      </w:r>
    </w:p>
    <w:p w:rsidR="0092187C" w:rsidRPr="00E35F91" w:rsidRDefault="0092187C" w:rsidP="00DC6360">
      <w:pPr>
        <w:pStyle w:val="TableTextLeft-NumberingAppB"/>
        <w:numPr>
          <w:ilvl w:val="0"/>
          <w:numId w:val="0"/>
        </w:numPr>
        <w:tabs>
          <w:tab w:val="clear" w:pos="340"/>
          <w:tab w:val="left" w:pos="450"/>
        </w:tabs>
        <w:ind w:left="360" w:hanging="360"/>
        <w:jc w:val="both"/>
        <w:rPr>
          <w:rFonts w:ascii="Segoe UI" w:hAnsi="Segoe UI" w:cs="Segoe UI"/>
          <w:i/>
          <w:color w:val="002060"/>
        </w:rPr>
      </w:pPr>
      <w:r w:rsidRPr="00E35F91">
        <w:rPr>
          <w:rFonts w:ascii="Segoe UI" w:hAnsi="Segoe UI" w:cs="Segoe UI"/>
          <w:i/>
          <w:color w:val="002060"/>
        </w:rPr>
        <w:t>41.   Are there any other benefits and disadvantages to a general unfair trading prohibition that should be considered?</w:t>
      </w:r>
    </w:p>
    <w:p w:rsidR="0092187C" w:rsidRPr="00E35F91" w:rsidRDefault="0092187C"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 xml:space="preserve">DSA submits there is no case for a general unfair trading prohibition.   The </w:t>
      </w:r>
      <w:r w:rsidR="00E91F7C" w:rsidRPr="00E35F91">
        <w:rPr>
          <w:rFonts w:ascii="Segoe UI" w:hAnsi="Segoe UI" w:cs="Segoe UI"/>
          <w:color w:val="auto"/>
          <w:sz w:val="20"/>
        </w:rPr>
        <w:t>Interim Report</w:t>
      </w:r>
      <w:r w:rsidRPr="00E35F91">
        <w:rPr>
          <w:rFonts w:ascii="Segoe UI" w:hAnsi="Segoe UI" w:cs="Segoe UI"/>
          <w:color w:val="auto"/>
          <w:sz w:val="20"/>
        </w:rPr>
        <w:t xml:space="preserve"> acknowledges the reach of existing unconscionable conduct provisions to unfair and unreasonable trading practices, including </w:t>
      </w:r>
      <w:r w:rsidR="00E22496" w:rsidRPr="00E35F91">
        <w:rPr>
          <w:rFonts w:ascii="Segoe UI" w:hAnsi="Segoe UI" w:cs="Segoe UI"/>
          <w:color w:val="auto"/>
          <w:sz w:val="20"/>
        </w:rPr>
        <w:t xml:space="preserve">instances </w:t>
      </w:r>
      <w:r w:rsidRPr="00E35F91">
        <w:rPr>
          <w:rFonts w:ascii="Segoe UI" w:hAnsi="Segoe UI" w:cs="Segoe UI"/>
          <w:color w:val="auto"/>
          <w:sz w:val="20"/>
        </w:rPr>
        <w:t xml:space="preserve">where there is no individual disadvantage.   Adoption of other jurisdictional experience, including the EU Directive argued to support specific regulation of unfair trading practices, would be no greater or necessary benefit to consumers and would lead to more uncertainty and unnecessary compliance </w:t>
      </w:r>
      <w:r w:rsidR="00E91F7C" w:rsidRPr="00E35F91">
        <w:rPr>
          <w:rFonts w:ascii="Segoe UI" w:hAnsi="Segoe UI" w:cs="Segoe UI"/>
          <w:color w:val="auto"/>
          <w:sz w:val="20"/>
        </w:rPr>
        <w:t>cost</w:t>
      </w:r>
      <w:r w:rsidRPr="00E35F91">
        <w:rPr>
          <w:rFonts w:ascii="Segoe UI" w:hAnsi="Segoe UI" w:cs="Segoe UI"/>
          <w:color w:val="auto"/>
          <w:sz w:val="20"/>
        </w:rPr>
        <w:t xml:space="preserve"> for business.   </w:t>
      </w:r>
    </w:p>
    <w:p w:rsidR="0092187C" w:rsidRPr="00E35F91" w:rsidRDefault="0092187C" w:rsidP="00DC6360">
      <w:pPr>
        <w:pStyle w:val="ListParagraph"/>
        <w:numPr>
          <w:ilvl w:val="1"/>
          <w:numId w:val="12"/>
        </w:numPr>
        <w:tabs>
          <w:tab w:val="left" w:pos="540"/>
        </w:tabs>
        <w:spacing w:before="0" w:after="160" w:line="259" w:lineRule="auto"/>
        <w:jc w:val="both"/>
        <w:rPr>
          <w:rFonts w:ascii="Segoe UI" w:hAnsi="Segoe UI" w:cs="Segoe UI"/>
          <w:b/>
          <w:color w:val="auto"/>
          <w:sz w:val="20"/>
        </w:rPr>
      </w:pPr>
      <w:r w:rsidRPr="00E35F91">
        <w:rPr>
          <w:rFonts w:ascii="Segoe UI" w:hAnsi="Segoe UI" w:cs="Segoe UI"/>
          <w:b/>
          <w:color w:val="auto"/>
          <w:sz w:val="20"/>
        </w:rPr>
        <w:t>Unfair contract terms</w:t>
      </w:r>
    </w:p>
    <w:p w:rsidR="0092187C" w:rsidRPr="00E35F91" w:rsidRDefault="0092187C" w:rsidP="00DC6360">
      <w:pPr>
        <w:tabs>
          <w:tab w:val="left" w:pos="720"/>
        </w:tabs>
        <w:spacing w:before="0" w:after="160" w:line="259" w:lineRule="auto"/>
        <w:jc w:val="both"/>
        <w:rPr>
          <w:rFonts w:ascii="Segoe UI" w:hAnsi="Segoe UI" w:cs="Segoe UI"/>
          <w:b/>
          <w:color w:val="auto"/>
          <w:sz w:val="20"/>
        </w:rPr>
      </w:pPr>
      <w:r w:rsidRPr="00E35F91">
        <w:rPr>
          <w:rFonts w:ascii="Segoe UI" w:hAnsi="Segoe UI" w:cs="Segoe UI"/>
          <w:b/>
          <w:color w:val="auto"/>
          <w:sz w:val="20"/>
        </w:rPr>
        <w:t>2.4.6   Monetary penalties</w:t>
      </w:r>
    </w:p>
    <w:p w:rsidR="0092187C" w:rsidRPr="00E35F91" w:rsidRDefault="0092187C" w:rsidP="00DC6360">
      <w:pPr>
        <w:pStyle w:val="TableTextLeft-NumberingAppB"/>
        <w:numPr>
          <w:ilvl w:val="0"/>
          <w:numId w:val="0"/>
        </w:numPr>
        <w:tabs>
          <w:tab w:val="clear" w:pos="340"/>
          <w:tab w:val="left" w:pos="450"/>
        </w:tabs>
        <w:ind w:left="360" w:hanging="360"/>
        <w:jc w:val="both"/>
        <w:rPr>
          <w:rFonts w:ascii="Segoe UI" w:hAnsi="Segoe UI" w:cs="Segoe UI"/>
          <w:i/>
          <w:color w:val="002060"/>
        </w:rPr>
      </w:pPr>
      <w:r w:rsidRPr="00E35F91">
        <w:rPr>
          <w:rFonts w:ascii="Segoe UI" w:hAnsi="Segoe UI" w:cs="Segoe UI"/>
          <w:i/>
          <w:color w:val="002060"/>
        </w:rPr>
        <w:t>44.   Should the use of terms previously declared ‘unfair’ by a court be prohibited? If so:</w:t>
      </w:r>
    </w:p>
    <w:p w:rsidR="0092187C" w:rsidRPr="00E35F91" w:rsidRDefault="0092187C" w:rsidP="00DC6360">
      <w:pPr>
        <w:pStyle w:val="TableTextLeft-NumberingAppB"/>
        <w:numPr>
          <w:ilvl w:val="0"/>
          <w:numId w:val="15"/>
        </w:numPr>
        <w:tabs>
          <w:tab w:val="clear" w:pos="340"/>
          <w:tab w:val="left" w:pos="450"/>
        </w:tabs>
        <w:jc w:val="both"/>
        <w:rPr>
          <w:rFonts w:ascii="Segoe UI" w:hAnsi="Segoe UI" w:cs="Segoe UI"/>
          <w:i/>
          <w:color w:val="002060"/>
        </w:rPr>
      </w:pPr>
      <w:r w:rsidRPr="00E35F91">
        <w:rPr>
          <w:rFonts w:ascii="Segoe UI" w:hAnsi="Segoe UI" w:cs="Segoe UI"/>
          <w:i/>
          <w:color w:val="002060"/>
        </w:rPr>
        <w:lastRenderedPageBreak/>
        <w:t>What should be the extent of the prohibition? For example, would it only apply to identical or similar standard form contracts, within a particular sector, or more broadly?</w:t>
      </w:r>
    </w:p>
    <w:p w:rsidR="0092187C" w:rsidRPr="00E35F91" w:rsidRDefault="0092187C" w:rsidP="00DC6360">
      <w:pPr>
        <w:pStyle w:val="TableTextLeft-NumberingAppB"/>
        <w:numPr>
          <w:ilvl w:val="0"/>
          <w:numId w:val="15"/>
        </w:numPr>
        <w:tabs>
          <w:tab w:val="clear" w:pos="340"/>
          <w:tab w:val="left" w:pos="450"/>
        </w:tabs>
        <w:jc w:val="both"/>
        <w:rPr>
          <w:rFonts w:ascii="Segoe UI" w:hAnsi="Segoe UI" w:cs="Segoe UI"/>
          <w:i/>
          <w:color w:val="002060"/>
        </w:rPr>
      </w:pPr>
      <w:r w:rsidRPr="00E35F91">
        <w:rPr>
          <w:rFonts w:ascii="Segoe UI" w:hAnsi="Segoe UI" w:cs="Segoe UI"/>
          <w:i/>
          <w:color w:val="002060"/>
        </w:rPr>
        <w:t>Would this increase the deterrent effect of the unfair contract terms provisions?</w:t>
      </w:r>
    </w:p>
    <w:p w:rsidR="0092187C" w:rsidRPr="00E35F91" w:rsidRDefault="0092187C" w:rsidP="00DC6360">
      <w:pPr>
        <w:pStyle w:val="TableTextLeft-NumberingAppB"/>
        <w:numPr>
          <w:ilvl w:val="0"/>
          <w:numId w:val="15"/>
        </w:numPr>
        <w:tabs>
          <w:tab w:val="clear" w:pos="340"/>
          <w:tab w:val="left" w:pos="450"/>
        </w:tabs>
        <w:jc w:val="both"/>
        <w:rPr>
          <w:rFonts w:ascii="Segoe UI" w:hAnsi="Segoe UI" w:cs="Segoe UI"/>
          <w:i/>
          <w:color w:val="002060"/>
        </w:rPr>
      </w:pPr>
      <w:r w:rsidRPr="00E35F91">
        <w:rPr>
          <w:rFonts w:ascii="Segoe UI" w:hAnsi="Segoe UI" w:cs="Segoe UI"/>
          <w:i/>
          <w:color w:val="002060"/>
        </w:rPr>
        <w:t>What penalties and remedies should apply?</w:t>
      </w:r>
    </w:p>
    <w:p w:rsidR="0092187C" w:rsidRPr="00E35F91" w:rsidRDefault="0092187C" w:rsidP="00DC6360">
      <w:pPr>
        <w:pStyle w:val="TableTextLeft-NumberingAppB"/>
        <w:numPr>
          <w:ilvl w:val="0"/>
          <w:numId w:val="15"/>
        </w:numPr>
        <w:tabs>
          <w:tab w:val="clear" w:pos="340"/>
          <w:tab w:val="left" w:pos="450"/>
        </w:tabs>
        <w:jc w:val="both"/>
        <w:rPr>
          <w:rFonts w:ascii="Segoe UI" w:hAnsi="Segoe UI" w:cs="Segoe UI"/>
          <w:i/>
          <w:color w:val="002060"/>
        </w:rPr>
      </w:pPr>
      <w:r w:rsidRPr="00E35F91">
        <w:rPr>
          <w:rFonts w:ascii="Segoe UI" w:hAnsi="Segoe UI" w:cs="Segoe UI"/>
          <w:i/>
          <w:color w:val="002060"/>
        </w:rPr>
        <w:t>What, if any, transitional arrangements would be required? How should business be made aware of contract terms that have been declared ‘unfair’?</w:t>
      </w:r>
    </w:p>
    <w:p w:rsidR="0092187C" w:rsidRPr="00E35F91" w:rsidRDefault="0092187C" w:rsidP="00DC6360">
      <w:pPr>
        <w:pStyle w:val="TableTextLeft-NumberingAppB"/>
        <w:numPr>
          <w:ilvl w:val="0"/>
          <w:numId w:val="15"/>
        </w:numPr>
        <w:tabs>
          <w:tab w:val="clear" w:pos="340"/>
          <w:tab w:val="left" w:pos="450"/>
        </w:tabs>
        <w:jc w:val="both"/>
        <w:rPr>
          <w:rFonts w:ascii="Segoe UI" w:hAnsi="Segoe UI" w:cs="Segoe UI"/>
          <w:i/>
          <w:color w:val="002060"/>
        </w:rPr>
      </w:pPr>
      <w:r w:rsidRPr="00E35F91">
        <w:rPr>
          <w:rFonts w:ascii="Segoe UI" w:hAnsi="Segoe UI" w:cs="Segoe UI"/>
          <w:i/>
          <w:color w:val="002060"/>
        </w:rPr>
        <w:t>Are there any unintended consequences, challenges or risks that need to be considered?</w:t>
      </w:r>
    </w:p>
    <w:p w:rsidR="0092187C" w:rsidRPr="00E35F91" w:rsidRDefault="0092187C"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The use of terms previously declared ‘unfair’ by a court in one instance should not be prohibited in all instances.</w:t>
      </w:r>
      <w:r w:rsidR="00CC79A2" w:rsidRPr="00E35F91">
        <w:rPr>
          <w:rFonts w:ascii="Segoe UI" w:hAnsi="Segoe UI" w:cs="Segoe UI"/>
          <w:color w:val="auto"/>
          <w:sz w:val="20"/>
        </w:rPr>
        <w:t xml:space="preserve">   </w:t>
      </w:r>
      <w:r w:rsidR="00E22496" w:rsidRPr="00E35F91">
        <w:rPr>
          <w:rFonts w:ascii="Segoe UI" w:hAnsi="Segoe UI" w:cs="Segoe UI"/>
          <w:color w:val="auto"/>
          <w:sz w:val="20"/>
        </w:rPr>
        <w:t>Whether</w:t>
      </w:r>
      <w:r w:rsidRPr="00E35F91">
        <w:rPr>
          <w:rFonts w:ascii="Segoe UI" w:hAnsi="Segoe UI" w:cs="Segoe UI"/>
          <w:color w:val="auto"/>
          <w:sz w:val="20"/>
        </w:rPr>
        <w:t xml:space="preserve"> a particular term is ‘unfair’ is necessarily subjective and depends on </w:t>
      </w:r>
      <w:r w:rsidR="00E22496" w:rsidRPr="00E35F91">
        <w:rPr>
          <w:rFonts w:ascii="Segoe UI" w:hAnsi="Segoe UI" w:cs="Segoe UI"/>
          <w:color w:val="auto"/>
          <w:sz w:val="20"/>
        </w:rPr>
        <w:t>particular circumstances</w:t>
      </w:r>
      <w:r w:rsidRPr="00E35F91">
        <w:rPr>
          <w:rFonts w:ascii="Segoe UI" w:hAnsi="Segoe UI" w:cs="Segoe UI"/>
          <w:color w:val="auto"/>
          <w:sz w:val="20"/>
        </w:rPr>
        <w:t>.</w:t>
      </w:r>
      <w:r w:rsidR="00E22496" w:rsidRPr="00E35F91">
        <w:rPr>
          <w:rFonts w:ascii="Segoe UI" w:hAnsi="Segoe UI" w:cs="Segoe UI"/>
          <w:color w:val="auto"/>
          <w:sz w:val="20"/>
        </w:rPr>
        <w:t xml:space="preserve">   </w:t>
      </w:r>
      <w:r w:rsidRPr="00E35F91">
        <w:rPr>
          <w:rFonts w:ascii="Segoe UI" w:hAnsi="Segoe UI" w:cs="Segoe UI"/>
          <w:color w:val="auto"/>
          <w:sz w:val="20"/>
        </w:rPr>
        <w:t xml:space="preserve">It would be inappropriate to extrapolate a finding in </w:t>
      </w:r>
      <w:r w:rsidR="00E22496" w:rsidRPr="00E35F91">
        <w:rPr>
          <w:rFonts w:ascii="Segoe UI" w:hAnsi="Segoe UI" w:cs="Segoe UI"/>
          <w:color w:val="auto"/>
          <w:sz w:val="20"/>
        </w:rPr>
        <w:t>a</w:t>
      </w:r>
      <w:r w:rsidRPr="00E35F91">
        <w:rPr>
          <w:rFonts w:ascii="Segoe UI" w:hAnsi="Segoe UI" w:cs="Segoe UI"/>
          <w:color w:val="auto"/>
          <w:sz w:val="20"/>
        </w:rPr>
        <w:t xml:space="preserve"> particular case to all cases which </w:t>
      </w:r>
      <w:r w:rsidR="00E22496" w:rsidRPr="00E35F91">
        <w:rPr>
          <w:rFonts w:ascii="Segoe UI" w:hAnsi="Segoe UI" w:cs="Segoe UI"/>
          <w:color w:val="auto"/>
          <w:sz w:val="20"/>
        </w:rPr>
        <w:t>could</w:t>
      </w:r>
      <w:r w:rsidRPr="00E35F91">
        <w:rPr>
          <w:rFonts w:ascii="Segoe UI" w:hAnsi="Segoe UI" w:cs="Segoe UI"/>
          <w:color w:val="auto"/>
          <w:sz w:val="20"/>
        </w:rPr>
        <w:t xml:space="preserve"> involve different circumstances in which use of the term may not be unfair.  The ACL already includes a non-exclusive list of examples of unfair terms.   If a prohibition is to be introduced, then the prohibition should only apply to similar terms contained in a contract of substantially the same nature, where the term </w:t>
      </w:r>
      <w:r w:rsidR="0002532F" w:rsidRPr="00E35F91">
        <w:rPr>
          <w:rFonts w:ascii="Segoe UI" w:hAnsi="Segoe UI" w:cs="Segoe UI"/>
          <w:color w:val="auto"/>
          <w:sz w:val="20"/>
        </w:rPr>
        <w:t>has the same function and effect</w:t>
      </w:r>
      <w:r w:rsidRPr="00E35F91">
        <w:rPr>
          <w:rFonts w:ascii="Segoe UI" w:hAnsi="Segoe UI" w:cs="Segoe UI"/>
          <w:color w:val="auto"/>
          <w:sz w:val="20"/>
        </w:rPr>
        <w:t>.  This would perhaps need to be the subject of further proceedings by the regulator and a declaration by the court.  This in itself would create uncertainty as to whether a particular contract is covered by the prohibition.   If the practical outcome is that the prohibition could only apply to the same supplier and same class of consumers, then the prohibition would do no more than the current provisions.   Transitional arrangements would be required, including for each term that is declared unfair.</w:t>
      </w:r>
    </w:p>
    <w:p w:rsidR="00AC66C9" w:rsidRPr="00E35F91" w:rsidRDefault="00AC66C9" w:rsidP="00DC6360">
      <w:pPr>
        <w:tabs>
          <w:tab w:val="left" w:pos="720"/>
        </w:tabs>
        <w:spacing w:before="0" w:after="160" w:line="259" w:lineRule="auto"/>
        <w:jc w:val="both"/>
        <w:rPr>
          <w:rFonts w:ascii="Segoe UI" w:hAnsi="Segoe UI" w:cs="Segoe UI"/>
          <w:b/>
          <w:color w:val="auto"/>
          <w:sz w:val="20"/>
        </w:rPr>
      </w:pPr>
      <w:r w:rsidRPr="00E35F91">
        <w:rPr>
          <w:rFonts w:ascii="Segoe UI" w:hAnsi="Segoe UI" w:cs="Segoe UI"/>
          <w:b/>
          <w:color w:val="auto"/>
          <w:sz w:val="20"/>
        </w:rPr>
        <w:t>2.4.7   Representative action by regulators</w:t>
      </w:r>
    </w:p>
    <w:p w:rsidR="00AC66C9" w:rsidRPr="00E35F91" w:rsidRDefault="00AC66C9" w:rsidP="00DC6360">
      <w:pPr>
        <w:pStyle w:val="TableTextLeft-NumberingAppB"/>
        <w:numPr>
          <w:ilvl w:val="0"/>
          <w:numId w:val="0"/>
        </w:numPr>
        <w:tabs>
          <w:tab w:val="clear" w:pos="340"/>
          <w:tab w:val="left" w:pos="450"/>
        </w:tabs>
        <w:ind w:left="360" w:hanging="360"/>
        <w:jc w:val="both"/>
        <w:rPr>
          <w:rFonts w:ascii="Segoe UI" w:hAnsi="Segoe UI" w:cs="Segoe UI"/>
          <w:i/>
          <w:color w:val="002060"/>
        </w:rPr>
      </w:pPr>
      <w:r w:rsidRPr="00E35F91">
        <w:rPr>
          <w:rFonts w:ascii="Segoe UI" w:hAnsi="Segoe UI" w:cs="Segoe UI"/>
          <w:i/>
          <w:color w:val="002060"/>
        </w:rPr>
        <w:t xml:space="preserve">45.  </w:t>
      </w:r>
      <w:r w:rsidRPr="00E35F91" w:rsidDel="00DE75F1">
        <w:rPr>
          <w:rFonts w:ascii="Segoe UI" w:hAnsi="Segoe UI" w:cs="Segoe UI"/>
          <w:i/>
          <w:color w:val="002060"/>
        </w:rPr>
        <w:t>Would empowering ACL regulators to compel evidence from a business to investigate whether a term is unfair be appropriate enforcement tool? If so, what should be the scope of this power?</w:t>
      </w:r>
    </w:p>
    <w:p w:rsidR="00AC66C9" w:rsidRPr="00E35F91" w:rsidDel="00DE75F1" w:rsidRDefault="00AC66C9"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 xml:space="preserve">DSA </w:t>
      </w:r>
      <w:r w:rsidR="0002532F" w:rsidRPr="00E35F91">
        <w:rPr>
          <w:rFonts w:ascii="Segoe UI" w:hAnsi="Segoe UI" w:cs="Segoe UI"/>
          <w:color w:val="auto"/>
          <w:sz w:val="20"/>
        </w:rPr>
        <w:t xml:space="preserve">considers </w:t>
      </w:r>
      <w:r w:rsidRPr="00E35F91">
        <w:rPr>
          <w:rFonts w:ascii="Segoe UI" w:hAnsi="Segoe UI" w:cs="Segoe UI"/>
          <w:color w:val="auto"/>
          <w:sz w:val="20"/>
        </w:rPr>
        <w:t xml:space="preserve">the current enforcement regime for unfair contract terms is adequate.  Empowering ACL regulators to compel evidence from a business to investigate whether a term is unfair </w:t>
      </w:r>
      <w:r w:rsidR="0002532F" w:rsidRPr="00E35F91">
        <w:rPr>
          <w:rFonts w:ascii="Segoe UI" w:hAnsi="Segoe UI" w:cs="Segoe UI"/>
          <w:color w:val="auto"/>
          <w:sz w:val="20"/>
        </w:rPr>
        <w:t xml:space="preserve">is not </w:t>
      </w:r>
      <w:r w:rsidRPr="00E35F91">
        <w:rPr>
          <w:rFonts w:ascii="Segoe UI" w:hAnsi="Segoe UI" w:cs="Segoe UI"/>
          <w:color w:val="auto"/>
          <w:sz w:val="20"/>
        </w:rPr>
        <w:t>an appropriate enforcement tool</w:t>
      </w:r>
      <w:r w:rsidR="00D901B0" w:rsidRPr="00E35F91">
        <w:rPr>
          <w:rFonts w:ascii="Segoe UI" w:hAnsi="Segoe UI" w:cs="Segoe UI"/>
          <w:color w:val="auto"/>
          <w:sz w:val="20"/>
        </w:rPr>
        <w:t xml:space="preserve">.   </w:t>
      </w:r>
      <w:r w:rsidR="0002532F" w:rsidRPr="00E35F91">
        <w:rPr>
          <w:rFonts w:ascii="Segoe UI" w:hAnsi="Segoe UI" w:cs="Segoe UI"/>
          <w:color w:val="auto"/>
          <w:sz w:val="20"/>
        </w:rPr>
        <w:t>Responding to a</w:t>
      </w:r>
      <w:r w:rsidRPr="00E35F91">
        <w:rPr>
          <w:rFonts w:ascii="Segoe UI" w:hAnsi="Segoe UI" w:cs="Segoe UI"/>
          <w:color w:val="auto"/>
          <w:sz w:val="20"/>
        </w:rPr>
        <w:t xml:space="preserve"> regulatory</w:t>
      </w:r>
      <w:r w:rsidR="0002532F" w:rsidRPr="00E35F91">
        <w:rPr>
          <w:rFonts w:ascii="Segoe UI" w:hAnsi="Segoe UI" w:cs="Segoe UI"/>
          <w:color w:val="auto"/>
          <w:sz w:val="20"/>
        </w:rPr>
        <w:t xml:space="preserve"> inquiry or</w:t>
      </w:r>
      <w:r w:rsidRPr="00E35F91">
        <w:rPr>
          <w:rFonts w:ascii="Segoe UI" w:hAnsi="Segoe UI" w:cs="Segoe UI"/>
          <w:color w:val="auto"/>
          <w:sz w:val="20"/>
        </w:rPr>
        <w:t xml:space="preserve"> investigation can be extremely costly, disruptive and time consuming for businesses that are subject to this action, and disproport</w:t>
      </w:r>
      <w:r w:rsidR="0002532F" w:rsidRPr="00E35F91">
        <w:rPr>
          <w:rFonts w:ascii="Segoe UI" w:hAnsi="Segoe UI" w:cs="Segoe UI"/>
          <w:color w:val="auto"/>
          <w:sz w:val="20"/>
        </w:rPr>
        <w:t>ionate to any associated consumer benefit or detriment.</w:t>
      </w:r>
    </w:p>
    <w:p w:rsidR="00AC66C9" w:rsidRPr="00E35F91" w:rsidRDefault="00AC66C9" w:rsidP="00DC6360">
      <w:pPr>
        <w:tabs>
          <w:tab w:val="left" w:pos="720"/>
        </w:tabs>
        <w:spacing w:before="0" w:after="160" w:line="259" w:lineRule="auto"/>
        <w:jc w:val="both"/>
        <w:rPr>
          <w:rFonts w:ascii="Segoe UI" w:hAnsi="Segoe UI" w:cs="Segoe UI"/>
          <w:b/>
          <w:color w:val="auto"/>
          <w:sz w:val="20"/>
        </w:rPr>
      </w:pPr>
      <w:r w:rsidRPr="00E35F91">
        <w:rPr>
          <w:rFonts w:ascii="Segoe UI" w:hAnsi="Segoe UI" w:cs="Segoe UI"/>
          <w:b/>
          <w:color w:val="auto"/>
          <w:sz w:val="20"/>
        </w:rPr>
        <w:t>2.4.8   Legislative examples of unfair terms</w:t>
      </w:r>
    </w:p>
    <w:p w:rsidR="00AC66C9" w:rsidRPr="00E35F91" w:rsidRDefault="00AC66C9" w:rsidP="00DC6360">
      <w:pPr>
        <w:pStyle w:val="TableTextLeft-NumberingAppB"/>
        <w:numPr>
          <w:ilvl w:val="0"/>
          <w:numId w:val="0"/>
        </w:numPr>
        <w:tabs>
          <w:tab w:val="clear" w:pos="340"/>
          <w:tab w:val="left" w:pos="450"/>
        </w:tabs>
        <w:ind w:left="360" w:hanging="360"/>
        <w:jc w:val="both"/>
        <w:rPr>
          <w:rFonts w:ascii="Segoe UI" w:hAnsi="Segoe UI" w:cs="Segoe UI"/>
          <w:i/>
          <w:color w:val="002060"/>
        </w:rPr>
      </w:pPr>
      <w:r w:rsidRPr="00E35F91">
        <w:rPr>
          <w:rFonts w:ascii="Segoe UI" w:hAnsi="Segoe UI" w:cs="Segoe UI"/>
          <w:i/>
          <w:color w:val="002060"/>
        </w:rPr>
        <w:t>47.   Should the ‘grey list’ of examples of unfair contract terms be expanded? If so:</w:t>
      </w:r>
    </w:p>
    <w:p w:rsidR="00AC66C9" w:rsidRPr="00E35F91" w:rsidRDefault="00AC66C9" w:rsidP="00DC6360">
      <w:pPr>
        <w:pStyle w:val="TableTextLeft-NumberingAppB"/>
        <w:numPr>
          <w:ilvl w:val="0"/>
          <w:numId w:val="16"/>
        </w:numPr>
        <w:tabs>
          <w:tab w:val="clear" w:pos="340"/>
          <w:tab w:val="left" w:pos="450"/>
        </w:tabs>
        <w:jc w:val="both"/>
        <w:rPr>
          <w:rFonts w:ascii="Segoe UI" w:hAnsi="Segoe UI" w:cs="Segoe UI"/>
          <w:i/>
          <w:color w:val="002060"/>
        </w:rPr>
      </w:pPr>
      <w:r w:rsidRPr="00E35F91">
        <w:rPr>
          <w:rFonts w:ascii="Segoe UI" w:hAnsi="Segoe UI" w:cs="Segoe UI"/>
          <w:i/>
          <w:color w:val="002060"/>
        </w:rPr>
        <w:t>What examples should be added?</w:t>
      </w:r>
    </w:p>
    <w:p w:rsidR="00AC66C9" w:rsidRPr="00E35F91" w:rsidRDefault="00AC66C9" w:rsidP="00DC6360">
      <w:pPr>
        <w:pStyle w:val="TableTextLeft-NumberingAppB"/>
        <w:numPr>
          <w:ilvl w:val="0"/>
          <w:numId w:val="16"/>
        </w:numPr>
        <w:tabs>
          <w:tab w:val="clear" w:pos="340"/>
          <w:tab w:val="left" w:pos="450"/>
        </w:tabs>
        <w:jc w:val="both"/>
        <w:rPr>
          <w:rFonts w:ascii="Segoe UI" w:hAnsi="Segoe UI" w:cs="Segoe UI"/>
          <w:i/>
          <w:color w:val="002060"/>
        </w:rPr>
      </w:pPr>
      <w:r w:rsidRPr="00E35F91">
        <w:rPr>
          <w:rFonts w:ascii="Segoe UI" w:hAnsi="Segoe UI" w:cs="Segoe UI"/>
          <w:i/>
          <w:color w:val="002060"/>
        </w:rPr>
        <w:t>Would this help address systemic issues or provide greater clarity for businesses and consumers?</w:t>
      </w:r>
    </w:p>
    <w:p w:rsidR="00AC66C9" w:rsidRPr="00E35F91" w:rsidRDefault="00AC66C9" w:rsidP="00DC6360">
      <w:pPr>
        <w:pStyle w:val="TableTextLeft-NumberingAppB"/>
        <w:numPr>
          <w:ilvl w:val="0"/>
          <w:numId w:val="16"/>
        </w:numPr>
        <w:tabs>
          <w:tab w:val="clear" w:pos="340"/>
          <w:tab w:val="left" w:pos="450"/>
        </w:tabs>
        <w:jc w:val="both"/>
        <w:rPr>
          <w:rFonts w:ascii="Segoe UI" w:hAnsi="Segoe UI" w:cs="Segoe UI"/>
          <w:i/>
          <w:color w:val="002060"/>
        </w:rPr>
      </w:pPr>
      <w:r w:rsidRPr="00E35F91">
        <w:rPr>
          <w:rFonts w:ascii="Segoe UI" w:hAnsi="Segoe UI" w:cs="Segoe UI"/>
          <w:i/>
          <w:color w:val="002060"/>
        </w:rPr>
        <w:t>Are there any unintended consequences, risks or challenges that should be considered?</w:t>
      </w:r>
    </w:p>
    <w:p w:rsidR="00AC66C9" w:rsidRPr="00E35F91" w:rsidRDefault="00AC66C9" w:rsidP="00DC6360">
      <w:pPr>
        <w:tabs>
          <w:tab w:val="left" w:pos="360"/>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In response to stakeholder argued additions to the ACL’s “grey list” of unfair contract terms, DSA submits</w:t>
      </w:r>
    </w:p>
    <w:p w:rsidR="00AC66C9" w:rsidRPr="00E35F91" w:rsidRDefault="007D1D9D" w:rsidP="00DC6360">
      <w:pPr>
        <w:tabs>
          <w:tab w:val="left" w:pos="360"/>
        </w:tabs>
        <w:spacing w:before="0" w:after="160" w:line="259" w:lineRule="auto"/>
        <w:ind w:left="360" w:hanging="360"/>
        <w:jc w:val="both"/>
        <w:rPr>
          <w:rFonts w:ascii="Segoe UI" w:hAnsi="Segoe UI" w:cs="Segoe UI"/>
          <w:color w:val="auto"/>
          <w:sz w:val="20"/>
        </w:rPr>
      </w:pPr>
      <w:r w:rsidRPr="00E35F91">
        <w:rPr>
          <w:rFonts w:ascii="Segoe UI" w:hAnsi="Segoe UI" w:cs="Segoe UI"/>
          <w:color w:val="auto"/>
          <w:sz w:val="20"/>
        </w:rPr>
        <w:t>-</w:t>
      </w:r>
      <w:r w:rsidRPr="00E35F91">
        <w:rPr>
          <w:rFonts w:ascii="Segoe UI" w:hAnsi="Segoe UI" w:cs="Segoe UI"/>
          <w:color w:val="auto"/>
          <w:sz w:val="20"/>
        </w:rPr>
        <w:tab/>
      </w:r>
      <w:r w:rsidR="00AC66C9" w:rsidRPr="00E35F91">
        <w:rPr>
          <w:rFonts w:ascii="Segoe UI" w:hAnsi="Segoe UI" w:cs="Segoe UI"/>
          <w:color w:val="auto"/>
          <w:sz w:val="20"/>
        </w:rPr>
        <w:t>It should not prohibit new or increased charges not originally in the contract</w:t>
      </w:r>
      <w:r w:rsidR="00E91F7C" w:rsidRPr="00E35F91">
        <w:rPr>
          <w:rFonts w:ascii="Segoe UI" w:hAnsi="Segoe UI" w:cs="Segoe UI"/>
          <w:color w:val="auto"/>
          <w:sz w:val="20"/>
        </w:rPr>
        <w:t>.   This is often balanced by a consumer’s right to terminate on notice with or without cause before the new change is implemented;</w:t>
      </w:r>
    </w:p>
    <w:p w:rsidR="00AC66C9" w:rsidRPr="00E35F91" w:rsidRDefault="007D1D9D" w:rsidP="00DC6360">
      <w:pPr>
        <w:tabs>
          <w:tab w:val="left" w:pos="360"/>
        </w:tabs>
        <w:spacing w:before="0" w:after="160" w:line="259" w:lineRule="auto"/>
        <w:ind w:left="360" w:hanging="360"/>
        <w:jc w:val="both"/>
        <w:rPr>
          <w:rFonts w:ascii="Segoe UI" w:hAnsi="Segoe UI" w:cs="Segoe UI"/>
          <w:color w:val="auto"/>
          <w:sz w:val="20"/>
        </w:rPr>
      </w:pPr>
      <w:r w:rsidRPr="00E35F91">
        <w:rPr>
          <w:rFonts w:ascii="Segoe UI" w:hAnsi="Segoe UI" w:cs="Segoe UI"/>
          <w:color w:val="auto"/>
          <w:sz w:val="20"/>
        </w:rPr>
        <w:lastRenderedPageBreak/>
        <w:t>-</w:t>
      </w:r>
      <w:r w:rsidRPr="00E35F91">
        <w:rPr>
          <w:rFonts w:ascii="Segoe UI" w:hAnsi="Segoe UI" w:cs="Segoe UI"/>
          <w:color w:val="auto"/>
          <w:sz w:val="20"/>
        </w:rPr>
        <w:tab/>
      </w:r>
      <w:r w:rsidR="00AC66C9" w:rsidRPr="00E35F91">
        <w:rPr>
          <w:rFonts w:ascii="Segoe UI" w:hAnsi="Segoe UI" w:cs="Segoe UI"/>
          <w:color w:val="auto"/>
          <w:sz w:val="20"/>
        </w:rPr>
        <w:t>Automatic renewal of a contract should not be prohibited</w:t>
      </w:r>
      <w:r w:rsidR="00E91F7C" w:rsidRPr="00E35F91">
        <w:rPr>
          <w:rFonts w:ascii="Segoe UI" w:hAnsi="Segoe UI" w:cs="Segoe UI"/>
          <w:color w:val="auto"/>
          <w:sz w:val="20"/>
        </w:rPr>
        <w:t>.   Again, t</w:t>
      </w:r>
      <w:r w:rsidR="00AC66C9" w:rsidRPr="00E35F91">
        <w:rPr>
          <w:rFonts w:ascii="Segoe UI" w:hAnsi="Segoe UI" w:cs="Segoe UI"/>
          <w:color w:val="auto"/>
          <w:sz w:val="20"/>
        </w:rPr>
        <w:t>his is often balanced by a consumer’s right to terminate on notice with or without cause;</w:t>
      </w:r>
    </w:p>
    <w:p w:rsidR="00AC66C9" w:rsidRPr="00E35F91" w:rsidRDefault="007D1D9D" w:rsidP="00DC6360">
      <w:pPr>
        <w:tabs>
          <w:tab w:val="left" w:pos="360"/>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w:t>
      </w:r>
      <w:r w:rsidRPr="00E35F91">
        <w:rPr>
          <w:rFonts w:ascii="Segoe UI" w:hAnsi="Segoe UI" w:cs="Segoe UI"/>
          <w:color w:val="auto"/>
          <w:sz w:val="20"/>
        </w:rPr>
        <w:tab/>
      </w:r>
      <w:r w:rsidR="00AC66C9" w:rsidRPr="00E35F91">
        <w:rPr>
          <w:rFonts w:ascii="Segoe UI" w:hAnsi="Segoe UI" w:cs="Segoe UI"/>
          <w:color w:val="auto"/>
          <w:sz w:val="20"/>
        </w:rPr>
        <w:t>Cancellation fee abuses are illegal penalties under well-established contract law principles;</w:t>
      </w:r>
    </w:p>
    <w:p w:rsidR="00AC66C9" w:rsidRPr="00E35F91" w:rsidRDefault="007D1D9D" w:rsidP="00DC6360">
      <w:pPr>
        <w:tabs>
          <w:tab w:val="left" w:pos="360"/>
        </w:tabs>
        <w:spacing w:before="0" w:after="160" w:line="259" w:lineRule="auto"/>
        <w:ind w:left="360" w:hanging="360"/>
        <w:jc w:val="both"/>
        <w:rPr>
          <w:rFonts w:ascii="Segoe UI" w:hAnsi="Segoe UI" w:cs="Segoe UI"/>
          <w:color w:val="auto"/>
          <w:sz w:val="20"/>
        </w:rPr>
      </w:pPr>
      <w:r w:rsidRPr="00E35F91">
        <w:rPr>
          <w:rFonts w:ascii="Segoe UI" w:hAnsi="Segoe UI" w:cs="Segoe UI"/>
          <w:color w:val="auto"/>
          <w:sz w:val="20"/>
        </w:rPr>
        <w:t>-</w:t>
      </w:r>
      <w:r w:rsidRPr="00E35F91">
        <w:rPr>
          <w:rFonts w:ascii="Segoe UI" w:hAnsi="Segoe UI" w:cs="Segoe UI"/>
          <w:color w:val="auto"/>
          <w:sz w:val="20"/>
        </w:rPr>
        <w:tab/>
      </w:r>
      <w:r w:rsidR="00AC66C9" w:rsidRPr="00E35F91">
        <w:rPr>
          <w:rFonts w:ascii="Segoe UI" w:hAnsi="Segoe UI" w:cs="Segoe UI"/>
          <w:color w:val="auto"/>
          <w:sz w:val="20"/>
        </w:rPr>
        <w:t>Confidentiality or non-disclosure conditions in settlements mus</w:t>
      </w:r>
      <w:r w:rsidRPr="00E35F91">
        <w:rPr>
          <w:rFonts w:ascii="Segoe UI" w:hAnsi="Segoe UI" w:cs="Segoe UI"/>
          <w:color w:val="auto"/>
          <w:sz w:val="20"/>
        </w:rPr>
        <w:t xml:space="preserve">t not be included.   This would </w:t>
      </w:r>
      <w:r w:rsidR="00AC66C9" w:rsidRPr="00E35F91">
        <w:rPr>
          <w:rFonts w:ascii="Segoe UI" w:hAnsi="Segoe UI" w:cs="Segoe UI"/>
          <w:color w:val="auto"/>
          <w:sz w:val="20"/>
        </w:rPr>
        <w:t>potentially apply to the vast majority of settlements where confidentiality and non-disclosure are essential elements of resolving a dispute.   It would be a major disincentive for resolving consumer claims without the need for formal legal proceedings or court action;</w:t>
      </w:r>
    </w:p>
    <w:p w:rsidR="00AC66C9" w:rsidRPr="00E35F91" w:rsidRDefault="007D1D9D" w:rsidP="00DC6360">
      <w:pPr>
        <w:tabs>
          <w:tab w:val="left" w:pos="360"/>
        </w:tabs>
        <w:spacing w:before="0" w:after="160" w:line="259" w:lineRule="auto"/>
        <w:ind w:left="360" w:hanging="360"/>
        <w:jc w:val="both"/>
        <w:rPr>
          <w:rFonts w:ascii="Segoe UI" w:hAnsi="Segoe UI" w:cs="Segoe UI"/>
          <w:color w:val="auto"/>
          <w:sz w:val="20"/>
        </w:rPr>
      </w:pPr>
      <w:r w:rsidRPr="00E35F91">
        <w:rPr>
          <w:rFonts w:ascii="Segoe UI" w:hAnsi="Segoe UI" w:cs="Segoe UI"/>
          <w:color w:val="auto"/>
          <w:sz w:val="20"/>
        </w:rPr>
        <w:t>-</w:t>
      </w:r>
      <w:r w:rsidRPr="00E35F91">
        <w:rPr>
          <w:rFonts w:ascii="Segoe UI" w:hAnsi="Segoe UI" w:cs="Segoe UI"/>
          <w:color w:val="auto"/>
          <w:sz w:val="20"/>
        </w:rPr>
        <w:tab/>
      </w:r>
      <w:r w:rsidR="00AC66C9" w:rsidRPr="00E35F91">
        <w:rPr>
          <w:rFonts w:ascii="Segoe UI" w:hAnsi="Segoe UI" w:cs="Segoe UI"/>
          <w:color w:val="auto"/>
          <w:sz w:val="20"/>
        </w:rPr>
        <w:t>Exclusions or restrictions on liability for death or personal injury from negligence seem to be already address</w:t>
      </w:r>
      <w:r w:rsidR="00F914BE" w:rsidRPr="00E35F91">
        <w:rPr>
          <w:rFonts w:ascii="Segoe UI" w:hAnsi="Segoe UI" w:cs="Segoe UI"/>
          <w:color w:val="auto"/>
          <w:sz w:val="20"/>
        </w:rPr>
        <w:t>ed</w:t>
      </w:r>
      <w:r w:rsidR="00AC66C9" w:rsidRPr="00E35F91">
        <w:rPr>
          <w:rFonts w:ascii="Segoe UI" w:hAnsi="Segoe UI" w:cs="Segoe UI"/>
          <w:color w:val="auto"/>
          <w:sz w:val="20"/>
        </w:rPr>
        <w:t xml:space="preserve"> by the ACL;</w:t>
      </w:r>
    </w:p>
    <w:p w:rsidR="00AC66C9" w:rsidRPr="00E35F91" w:rsidRDefault="007D1D9D" w:rsidP="00DC6360">
      <w:pPr>
        <w:tabs>
          <w:tab w:val="left" w:pos="360"/>
        </w:tabs>
        <w:spacing w:before="0" w:after="160" w:line="259" w:lineRule="auto"/>
        <w:ind w:left="360" w:hanging="360"/>
        <w:jc w:val="both"/>
        <w:rPr>
          <w:rFonts w:ascii="Segoe UI" w:hAnsi="Segoe UI" w:cs="Segoe UI"/>
          <w:color w:val="auto"/>
          <w:sz w:val="20"/>
        </w:rPr>
      </w:pPr>
      <w:r w:rsidRPr="00E35F91">
        <w:rPr>
          <w:rFonts w:ascii="Segoe UI" w:hAnsi="Segoe UI" w:cs="Segoe UI"/>
          <w:color w:val="auto"/>
          <w:sz w:val="20"/>
        </w:rPr>
        <w:t>-</w:t>
      </w:r>
      <w:r w:rsidRPr="00E35F91">
        <w:rPr>
          <w:rFonts w:ascii="Segoe UI" w:hAnsi="Segoe UI" w:cs="Segoe UI"/>
          <w:color w:val="auto"/>
          <w:sz w:val="20"/>
        </w:rPr>
        <w:tab/>
      </w:r>
      <w:r w:rsidR="00AC66C9" w:rsidRPr="00E35F91">
        <w:rPr>
          <w:rFonts w:ascii="Segoe UI" w:hAnsi="Segoe UI" w:cs="Segoe UI"/>
          <w:color w:val="auto"/>
          <w:sz w:val="20"/>
        </w:rPr>
        <w:t>Making a contract the ‘entire agreement’ between the parties (excluding, for example, verbal representations made by the seller) must not be included.   This is an unreasonable interference with fundamental principles around freedom of contract and contractual certainty;</w:t>
      </w:r>
    </w:p>
    <w:p w:rsidR="00AC66C9" w:rsidRPr="00E35F91" w:rsidRDefault="007D1D9D" w:rsidP="00DC6360">
      <w:pPr>
        <w:tabs>
          <w:tab w:val="left" w:pos="360"/>
        </w:tabs>
        <w:spacing w:before="0" w:after="160" w:line="259" w:lineRule="auto"/>
        <w:ind w:left="360" w:hanging="360"/>
        <w:jc w:val="both"/>
        <w:rPr>
          <w:rFonts w:ascii="Segoe UI" w:hAnsi="Segoe UI" w:cs="Segoe UI"/>
          <w:color w:val="auto"/>
          <w:sz w:val="20"/>
        </w:rPr>
      </w:pPr>
      <w:r w:rsidRPr="00E35F91">
        <w:rPr>
          <w:rFonts w:ascii="Segoe UI" w:hAnsi="Segoe UI" w:cs="Segoe UI"/>
          <w:color w:val="auto"/>
          <w:sz w:val="20"/>
        </w:rPr>
        <w:t>-</w:t>
      </w:r>
      <w:r w:rsidRPr="00E35F91">
        <w:rPr>
          <w:rFonts w:ascii="Segoe UI" w:hAnsi="Segoe UI" w:cs="Segoe UI"/>
          <w:color w:val="auto"/>
          <w:sz w:val="20"/>
        </w:rPr>
        <w:tab/>
      </w:r>
      <w:r w:rsidR="00AC66C9" w:rsidRPr="00E35F91">
        <w:rPr>
          <w:rFonts w:ascii="Segoe UI" w:hAnsi="Segoe UI" w:cs="Segoe UI"/>
          <w:color w:val="auto"/>
          <w:sz w:val="20"/>
        </w:rPr>
        <w:t>The list should not restrict arbitration clauses if the contract is with an international party that is not in Australia.   Courts already have the jurisdiction to override</w:t>
      </w:r>
      <w:r w:rsidR="00E91F7C" w:rsidRPr="00E35F91">
        <w:rPr>
          <w:rFonts w:ascii="Segoe UI" w:hAnsi="Segoe UI" w:cs="Segoe UI"/>
          <w:color w:val="auto"/>
          <w:sz w:val="20"/>
        </w:rPr>
        <w:t xml:space="preserve"> or read-down</w:t>
      </w:r>
      <w:r w:rsidR="00AC66C9" w:rsidRPr="00E35F91">
        <w:rPr>
          <w:rFonts w:ascii="Segoe UI" w:hAnsi="Segoe UI" w:cs="Segoe UI"/>
          <w:color w:val="auto"/>
          <w:sz w:val="20"/>
        </w:rPr>
        <w:t xml:space="preserve"> contractual choice of jurisdiction or forum in appropriate circumstances.  </w:t>
      </w:r>
    </w:p>
    <w:p w:rsidR="00AC66C9" w:rsidRPr="00E35F91" w:rsidRDefault="00AC66C9"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DSA notes these “grey” examples would not help address systemic issues or provide greater clarity for businesses and consumers.   The test of what is unfair is necessarily subjective</w:t>
      </w:r>
      <w:r w:rsidR="00E4759F" w:rsidRPr="00E35F91">
        <w:rPr>
          <w:rFonts w:ascii="Segoe UI" w:hAnsi="Segoe UI" w:cs="Segoe UI"/>
          <w:color w:val="auto"/>
          <w:sz w:val="20"/>
        </w:rPr>
        <w:t xml:space="preserve"> and should remain so</w:t>
      </w:r>
      <w:r w:rsidRPr="00E35F91">
        <w:rPr>
          <w:rFonts w:ascii="Segoe UI" w:hAnsi="Segoe UI" w:cs="Segoe UI"/>
          <w:color w:val="auto"/>
          <w:sz w:val="20"/>
        </w:rPr>
        <w:t xml:space="preserve">. </w:t>
      </w:r>
    </w:p>
    <w:p w:rsidR="00AC66C9" w:rsidRPr="00E35F91" w:rsidRDefault="00AC66C9" w:rsidP="00DC6360">
      <w:pPr>
        <w:pStyle w:val="ListParagraph"/>
        <w:numPr>
          <w:ilvl w:val="1"/>
          <w:numId w:val="12"/>
        </w:numPr>
        <w:tabs>
          <w:tab w:val="left" w:pos="540"/>
        </w:tabs>
        <w:spacing w:before="0" w:after="160" w:line="259" w:lineRule="auto"/>
        <w:jc w:val="both"/>
        <w:rPr>
          <w:rFonts w:ascii="Segoe UI" w:hAnsi="Segoe UI" w:cs="Segoe UI"/>
          <w:b/>
          <w:color w:val="auto"/>
          <w:sz w:val="20"/>
        </w:rPr>
      </w:pPr>
      <w:r w:rsidRPr="00E35F91">
        <w:rPr>
          <w:rFonts w:ascii="Segoe UI" w:hAnsi="Segoe UI" w:cs="Segoe UI"/>
          <w:b/>
          <w:color w:val="auto"/>
          <w:sz w:val="20"/>
        </w:rPr>
        <w:t>Unsolicited consumer agreements</w:t>
      </w:r>
    </w:p>
    <w:p w:rsidR="00AC66C9" w:rsidRPr="00E35F91" w:rsidRDefault="00AC66C9" w:rsidP="00DC6360">
      <w:pPr>
        <w:pStyle w:val="NoSpacing"/>
        <w:jc w:val="both"/>
        <w:rPr>
          <w:rFonts w:ascii="Segoe UI" w:hAnsi="Segoe UI" w:cs="Segoe UI"/>
          <w:b/>
          <w:color w:val="auto"/>
        </w:rPr>
      </w:pPr>
      <w:r w:rsidRPr="00E35F91">
        <w:rPr>
          <w:rFonts w:ascii="Segoe UI" w:hAnsi="Segoe UI" w:cs="Segoe UI"/>
          <w:b/>
          <w:color w:val="auto"/>
        </w:rPr>
        <w:t>2.5.4</w:t>
      </w:r>
      <w:r w:rsidRPr="00E35F91">
        <w:rPr>
          <w:rFonts w:ascii="Segoe UI" w:hAnsi="Segoe UI" w:cs="Segoe UI"/>
          <w:b/>
          <w:color w:val="auto"/>
        </w:rPr>
        <w:tab/>
        <w:t>Concerns about the level of regulation</w:t>
      </w:r>
    </w:p>
    <w:p w:rsidR="00AC66C9" w:rsidRPr="00E35F91" w:rsidRDefault="00AC66C9" w:rsidP="00DC6360">
      <w:pPr>
        <w:pStyle w:val="NoSpacing"/>
        <w:jc w:val="both"/>
        <w:rPr>
          <w:rFonts w:ascii="Segoe UI" w:hAnsi="Segoe UI" w:cs="Segoe UI"/>
          <w:b/>
          <w:color w:val="auto"/>
        </w:rPr>
      </w:pPr>
      <w:r w:rsidRPr="00E35F91">
        <w:rPr>
          <w:rFonts w:ascii="Segoe UI" w:hAnsi="Segoe UI" w:cs="Segoe UI"/>
          <w:b/>
          <w:color w:val="auto"/>
        </w:rPr>
        <w:t>2.5.5</w:t>
      </w:r>
      <w:r w:rsidRPr="00E35F91">
        <w:rPr>
          <w:rFonts w:ascii="Segoe UI" w:hAnsi="Segoe UI" w:cs="Segoe UI"/>
          <w:b/>
          <w:color w:val="auto"/>
        </w:rPr>
        <w:tab/>
        <w:t>Industry-specific concerns</w:t>
      </w:r>
    </w:p>
    <w:p w:rsidR="00AC66C9" w:rsidRPr="00E35F91" w:rsidRDefault="00AC66C9" w:rsidP="00DC6360">
      <w:pPr>
        <w:pStyle w:val="NoSpacing"/>
        <w:jc w:val="both"/>
        <w:rPr>
          <w:rFonts w:ascii="Segoe UI" w:hAnsi="Segoe UI" w:cs="Segoe UI"/>
          <w:b/>
          <w:color w:val="auto"/>
        </w:rPr>
      </w:pPr>
    </w:p>
    <w:p w:rsidR="00AC66C9" w:rsidRPr="00E35F91" w:rsidRDefault="00AC66C9" w:rsidP="00DC6360">
      <w:pPr>
        <w:pStyle w:val="TableTextLeft-NumberingAppB"/>
        <w:numPr>
          <w:ilvl w:val="0"/>
          <w:numId w:val="0"/>
        </w:numPr>
        <w:tabs>
          <w:tab w:val="clear" w:pos="340"/>
          <w:tab w:val="left" w:pos="450"/>
        </w:tabs>
        <w:ind w:left="360" w:hanging="360"/>
        <w:jc w:val="both"/>
        <w:rPr>
          <w:rFonts w:ascii="Segoe UI" w:hAnsi="Segoe UI" w:cs="Segoe UI"/>
          <w:i/>
          <w:color w:val="002060"/>
        </w:rPr>
      </w:pPr>
      <w:r w:rsidRPr="00E35F91">
        <w:rPr>
          <w:rFonts w:ascii="Segoe UI" w:hAnsi="Segoe UI" w:cs="Segoe UI"/>
          <w:i/>
          <w:color w:val="002060"/>
        </w:rPr>
        <w:t>48.  What are your views on maintaining the current unsolicited selling provisions? Is there another approach that would provide a more effective and proportionate response? If so, how?</w:t>
      </w:r>
    </w:p>
    <w:p w:rsidR="005B3465" w:rsidRPr="00E35F91" w:rsidRDefault="005B3465" w:rsidP="00DC6360">
      <w:pPr>
        <w:jc w:val="both"/>
        <w:rPr>
          <w:rFonts w:ascii="Segoe UI" w:hAnsi="Segoe UI" w:cs="Segoe UI"/>
          <w:color w:val="auto"/>
          <w:sz w:val="20"/>
        </w:rPr>
      </w:pPr>
      <w:r w:rsidRPr="00E35F91">
        <w:rPr>
          <w:rFonts w:ascii="Segoe UI" w:hAnsi="Segoe UI" w:cs="Segoe UI"/>
          <w:color w:val="auto"/>
          <w:sz w:val="20"/>
        </w:rPr>
        <w:t>CAANZ is urged to fundamentally rethink the ACL’s coverage of unsolicited selling practices.   In pr</w:t>
      </w:r>
      <w:r w:rsidR="00400F34" w:rsidRPr="00E35F91">
        <w:rPr>
          <w:rFonts w:ascii="Segoe UI" w:hAnsi="Segoe UI" w:cs="Segoe UI"/>
          <w:color w:val="auto"/>
          <w:sz w:val="20"/>
        </w:rPr>
        <w:t xml:space="preserve">ior </w:t>
      </w:r>
      <w:r w:rsidRPr="00E35F91">
        <w:rPr>
          <w:rFonts w:ascii="Segoe UI" w:hAnsi="Segoe UI" w:cs="Segoe UI"/>
          <w:color w:val="auto"/>
          <w:sz w:val="20"/>
        </w:rPr>
        <w:t>submissions</w:t>
      </w:r>
      <w:r w:rsidR="007A39BC" w:rsidRPr="00E35F91">
        <w:rPr>
          <w:rFonts w:ascii="Segoe UI" w:hAnsi="Segoe UI" w:cs="Segoe UI"/>
          <w:color w:val="auto"/>
          <w:sz w:val="20"/>
        </w:rPr>
        <w:t xml:space="preserve"> </w:t>
      </w:r>
      <w:r w:rsidRPr="00E35F91">
        <w:rPr>
          <w:rFonts w:ascii="Segoe UI" w:hAnsi="Segoe UI" w:cs="Segoe UI"/>
          <w:color w:val="auto"/>
          <w:sz w:val="20"/>
        </w:rPr>
        <w:t>and representations, DSA has shown how</w:t>
      </w:r>
      <w:r w:rsidR="00D901B0" w:rsidRPr="00E35F91">
        <w:rPr>
          <w:rFonts w:ascii="Segoe UI" w:hAnsi="Segoe UI" w:cs="Segoe UI"/>
          <w:color w:val="auto"/>
          <w:sz w:val="20"/>
        </w:rPr>
        <w:t xml:space="preserve"> </w:t>
      </w:r>
      <w:r w:rsidR="0099479D" w:rsidRPr="00E35F91">
        <w:rPr>
          <w:rFonts w:ascii="Segoe UI" w:hAnsi="Segoe UI" w:cs="Segoe UI"/>
          <w:color w:val="auto"/>
          <w:sz w:val="20"/>
        </w:rPr>
        <w:t>the</w:t>
      </w:r>
      <w:r w:rsidRPr="00E35F91">
        <w:rPr>
          <w:rFonts w:ascii="Segoe UI" w:hAnsi="Segoe UI" w:cs="Segoe UI"/>
          <w:color w:val="auto"/>
          <w:sz w:val="20"/>
        </w:rPr>
        <w:t xml:space="preserve"> lack of clarity in </w:t>
      </w:r>
      <w:r w:rsidR="0099479D" w:rsidRPr="00E35F91">
        <w:rPr>
          <w:rFonts w:ascii="Segoe UI" w:hAnsi="Segoe UI" w:cs="Segoe UI"/>
          <w:color w:val="auto"/>
          <w:sz w:val="20"/>
        </w:rPr>
        <w:t xml:space="preserve">its </w:t>
      </w:r>
      <w:r w:rsidRPr="00E35F91">
        <w:rPr>
          <w:rFonts w:ascii="Segoe UI" w:hAnsi="Segoe UI" w:cs="Segoe UI"/>
          <w:color w:val="auto"/>
          <w:sz w:val="20"/>
        </w:rPr>
        <w:t xml:space="preserve">policy and legislative expression </w:t>
      </w:r>
      <w:r w:rsidR="007870F5" w:rsidRPr="00E35F91">
        <w:rPr>
          <w:rFonts w:ascii="Segoe UI" w:hAnsi="Segoe UI" w:cs="Segoe UI"/>
          <w:color w:val="auto"/>
          <w:sz w:val="20"/>
        </w:rPr>
        <w:t>has meant</w:t>
      </w:r>
      <w:r w:rsidRPr="00E35F91">
        <w:rPr>
          <w:rFonts w:ascii="Segoe UI" w:hAnsi="Segoe UI" w:cs="Segoe UI"/>
          <w:color w:val="auto"/>
          <w:sz w:val="20"/>
        </w:rPr>
        <w:t xml:space="preserve"> cost and commercial risk for </w:t>
      </w:r>
      <w:r w:rsidR="007870F5" w:rsidRPr="00E35F91">
        <w:rPr>
          <w:rFonts w:ascii="Segoe UI" w:hAnsi="Segoe UI" w:cs="Segoe UI"/>
          <w:color w:val="auto"/>
          <w:sz w:val="20"/>
        </w:rPr>
        <w:t xml:space="preserve">companies and individuals engaged in </w:t>
      </w:r>
      <w:r w:rsidRPr="00E35F91">
        <w:rPr>
          <w:rFonts w:ascii="Segoe UI" w:hAnsi="Segoe UI" w:cs="Segoe UI"/>
          <w:color w:val="auto"/>
          <w:sz w:val="20"/>
        </w:rPr>
        <w:t>direct selling businesses</w:t>
      </w:r>
      <w:r w:rsidR="007870F5" w:rsidRPr="00E35F91">
        <w:rPr>
          <w:rFonts w:ascii="Segoe UI" w:hAnsi="Segoe UI" w:cs="Segoe UI"/>
          <w:color w:val="auto"/>
          <w:sz w:val="20"/>
        </w:rPr>
        <w:t xml:space="preserve"> </w:t>
      </w:r>
      <w:r w:rsidR="0099479D" w:rsidRPr="00E35F91">
        <w:rPr>
          <w:rFonts w:ascii="Segoe UI" w:hAnsi="Segoe UI" w:cs="Segoe UI"/>
          <w:color w:val="auto"/>
          <w:sz w:val="20"/>
        </w:rPr>
        <w:t>that present</w:t>
      </w:r>
      <w:r w:rsidR="007870F5" w:rsidRPr="00E35F91">
        <w:rPr>
          <w:rFonts w:ascii="Segoe UI" w:hAnsi="Segoe UI" w:cs="Segoe UI"/>
          <w:color w:val="auto"/>
          <w:sz w:val="20"/>
        </w:rPr>
        <w:t xml:space="preserve"> little, if any consumer risk.   DSA has argued </w:t>
      </w:r>
      <w:r w:rsidR="0099479D" w:rsidRPr="00E35F91">
        <w:rPr>
          <w:rFonts w:ascii="Segoe UI" w:hAnsi="Segoe UI" w:cs="Segoe UI"/>
          <w:color w:val="auto"/>
          <w:sz w:val="20"/>
        </w:rPr>
        <w:t xml:space="preserve">that </w:t>
      </w:r>
      <w:r w:rsidR="007870F5" w:rsidRPr="00E35F91">
        <w:rPr>
          <w:rFonts w:ascii="Segoe UI" w:hAnsi="Segoe UI" w:cs="Segoe UI"/>
          <w:color w:val="auto"/>
          <w:sz w:val="20"/>
        </w:rPr>
        <w:t>a</w:t>
      </w:r>
      <w:r w:rsidRPr="00E35F91">
        <w:rPr>
          <w:rFonts w:ascii="Segoe UI" w:hAnsi="Segoe UI" w:cs="Segoe UI"/>
          <w:color w:val="auto"/>
          <w:sz w:val="20"/>
        </w:rPr>
        <w:t xml:space="preserve"> </w:t>
      </w:r>
      <w:r w:rsidR="00B55EF2" w:rsidRPr="00E35F91">
        <w:rPr>
          <w:rFonts w:ascii="Segoe UI" w:hAnsi="Segoe UI" w:cs="Segoe UI"/>
          <w:color w:val="auto"/>
          <w:sz w:val="20"/>
        </w:rPr>
        <w:t>principle-based</w:t>
      </w:r>
      <w:r w:rsidRPr="00E35F91">
        <w:rPr>
          <w:rFonts w:ascii="Segoe UI" w:hAnsi="Segoe UI" w:cs="Segoe UI"/>
          <w:color w:val="auto"/>
          <w:sz w:val="20"/>
        </w:rPr>
        <w:t xml:space="preserve"> approach, rather </w:t>
      </w:r>
      <w:r w:rsidR="004D6AB1" w:rsidRPr="00E35F91">
        <w:rPr>
          <w:rFonts w:ascii="Segoe UI" w:hAnsi="Segoe UI" w:cs="Segoe UI"/>
          <w:color w:val="auto"/>
          <w:sz w:val="20"/>
        </w:rPr>
        <w:t>than the ACL’s</w:t>
      </w:r>
      <w:r w:rsidRPr="00E35F91">
        <w:rPr>
          <w:rFonts w:ascii="Segoe UI" w:hAnsi="Segoe UI" w:cs="Segoe UI"/>
          <w:color w:val="auto"/>
          <w:sz w:val="20"/>
        </w:rPr>
        <w:t xml:space="preserve"> highly prescriptive</w:t>
      </w:r>
      <w:r w:rsidR="0099479D" w:rsidRPr="00E35F91">
        <w:rPr>
          <w:rFonts w:ascii="Segoe UI" w:hAnsi="Segoe UI" w:cs="Segoe UI"/>
          <w:color w:val="auto"/>
          <w:sz w:val="20"/>
        </w:rPr>
        <w:t xml:space="preserve"> regime</w:t>
      </w:r>
      <w:r w:rsidRPr="00E35F91">
        <w:rPr>
          <w:rFonts w:ascii="Segoe UI" w:hAnsi="Segoe UI" w:cs="Segoe UI"/>
          <w:color w:val="auto"/>
          <w:sz w:val="20"/>
        </w:rPr>
        <w:t xml:space="preserve"> </w:t>
      </w:r>
      <w:r w:rsidR="0099479D" w:rsidRPr="00E35F91">
        <w:rPr>
          <w:rFonts w:ascii="Segoe UI" w:hAnsi="Segoe UI" w:cs="Segoe UI"/>
          <w:color w:val="auto"/>
          <w:sz w:val="20"/>
        </w:rPr>
        <w:t>will offer more certainty</w:t>
      </w:r>
      <w:r w:rsidRPr="00E35F91">
        <w:rPr>
          <w:rFonts w:ascii="Segoe UI" w:hAnsi="Segoe UI" w:cs="Segoe UI"/>
          <w:color w:val="auto"/>
          <w:sz w:val="20"/>
        </w:rPr>
        <w:t xml:space="preserve"> and </w:t>
      </w:r>
      <w:r w:rsidR="007870F5" w:rsidRPr="00E35F91">
        <w:rPr>
          <w:rFonts w:ascii="Segoe UI" w:hAnsi="Segoe UI" w:cs="Segoe UI"/>
          <w:color w:val="auto"/>
          <w:sz w:val="20"/>
        </w:rPr>
        <w:t>an</w:t>
      </w:r>
      <w:r w:rsidRPr="00E35F91">
        <w:rPr>
          <w:rFonts w:ascii="Segoe UI" w:hAnsi="Segoe UI" w:cs="Segoe UI"/>
          <w:color w:val="auto"/>
          <w:sz w:val="20"/>
        </w:rPr>
        <w:t xml:space="preserve"> </w:t>
      </w:r>
      <w:r w:rsidR="004D6AB1" w:rsidRPr="00E35F91">
        <w:rPr>
          <w:rFonts w:ascii="Segoe UI" w:hAnsi="Segoe UI" w:cs="Segoe UI"/>
          <w:color w:val="auto"/>
          <w:sz w:val="20"/>
        </w:rPr>
        <w:t>ability</w:t>
      </w:r>
      <w:r w:rsidRPr="00E35F91">
        <w:rPr>
          <w:rFonts w:ascii="Segoe UI" w:hAnsi="Segoe UI" w:cs="Segoe UI"/>
          <w:color w:val="auto"/>
          <w:sz w:val="20"/>
        </w:rPr>
        <w:t xml:space="preserve"> to </w:t>
      </w:r>
      <w:r w:rsidR="00DC6360" w:rsidRPr="00E35F91">
        <w:rPr>
          <w:rFonts w:ascii="Segoe UI" w:hAnsi="Segoe UI" w:cs="Segoe UI"/>
          <w:color w:val="auto"/>
          <w:sz w:val="20"/>
        </w:rPr>
        <w:t>adapt</w:t>
      </w:r>
      <w:r w:rsidRPr="00E35F91">
        <w:rPr>
          <w:rFonts w:ascii="Segoe UI" w:hAnsi="Segoe UI" w:cs="Segoe UI"/>
          <w:color w:val="auto"/>
          <w:sz w:val="20"/>
        </w:rPr>
        <w:t xml:space="preserve"> the law to increasingly integrated aspects of regulated and unregulated </w:t>
      </w:r>
      <w:r w:rsidR="004D6AB1" w:rsidRPr="00E35F91">
        <w:rPr>
          <w:rFonts w:ascii="Segoe UI" w:hAnsi="Segoe UI" w:cs="Segoe UI"/>
          <w:color w:val="auto"/>
          <w:sz w:val="20"/>
        </w:rPr>
        <w:t>direct selling practices.</w:t>
      </w:r>
      <w:r w:rsidR="007870F5" w:rsidRPr="00E35F91">
        <w:rPr>
          <w:rFonts w:ascii="Segoe UI" w:hAnsi="Segoe UI" w:cs="Segoe UI"/>
          <w:color w:val="auto"/>
          <w:sz w:val="20"/>
        </w:rPr>
        <w:t xml:space="preserve">   </w:t>
      </w:r>
      <w:r w:rsidR="00351F59" w:rsidRPr="00E35F91">
        <w:rPr>
          <w:rFonts w:ascii="Segoe UI" w:hAnsi="Segoe UI" w:cs="Segoe UI"/>
          <w:color w:val="auto"/>
          <w:sz w:val="20"/>
        </w:rPr>
        <w:t>Alternatively,</w:t>
      </w:r>
      <w:r w:rsidR="007870F5" w:rsidRPr="00E35F91">
        <w:rPr>
          <w:rFonts w:ascii="Segoe UI" w:hAnsi="Segoe UI" w:cs="Segoe UI"/>
          <w:color w:val="auto"/>
          <w:sz w:val="20"/>
        </w:rPr>
        <w:t xml:space="preserve"> there is the certainty of New </w:t>
      </w:r>
      <w:r w:rsidR="0099479D" w:rsidRPr="00E35F91">
        <w:rPr>
          <w:rFonts w:ascii="Segoe UI" w:hAnsi="Segoe UI" w:cs="Segoe UI"/>
          <w:color w:val="auto"/>
          <w:sz w:val="20"/>
        </w:rPr>
        <w:t>Zealand’s</w:t>
      </w:r>
      <w:r w:rsidR="007870F5" w:rsidRPr="00E35F91">
        <w:rPr>
          <w:rFonts w:ascii="Segoe UI" w:hAnsi="Segoe UI" w:cs="Segoe UI"/>
          <w:color w:val="auto"/>
          <w:sz w:val="20"/>
        </w:rPr>
        <w:t xml:space="preserve"> approach to regulating unsolicited selling.</w:t>
      </w:r>
    </w:p>
    <w:p w:rsidR="00351F59" w:rsidRPr="00E35F91" w:rsidRDefault="00DC6360" w:rsidP="00DC6360">
      <w:pPr>
        <w:jc w:val="both"/>
        <w:rPr>
          <w:rFonts w:ascii="Segoe UI" w:hAnsi="Segoe UI" w:cs="Segoe UI"/>
          <w:color w:val="auto"/>
          <w:sz w:val="20"/>
        </w:rPr>
      </w:pPr>
      <w:r w:rsidRPr="00E35F91">
        <w:rPr>
          <w:rFonts w:ascii="Segoe UI" w:hAnsi="Segoe UI" w:cs="Segoe UI"/>
          <w:color w:val="auto"/>
          <w:sz w:val="20"/>
        </w:rPr>
        <w:t>The</w:t>
      </w:r>
      <w:r w:rsidR="005B3465" w:rsidRPr="00E35F91">
        <w:rPr>
          <w:rFonts w:ascii="Segoe UI" w:hAnsi="Segoe UI" w:cs="Segoe UI"/>
          <w:color w:val="auto"/>
          <w:sz w:val="20"/>
        </w:rPr>
        <w:t xml:space="preserve"> Interim Report makes a number of pertinent observations.   First, it notes the</w:t>
      </w:r>
      <w:r w:rsidR="007D7B78" w:rsidRPr="00E35F91">
        <w:rPr>
          <w:rFonts w:ascii="Segoe UI" w:hAnsi="Segoe UI" w:cs="Segoe UI"/>
          <w:color w:val="auto"/>
          <w:sz w:val="20"/>
        </w:rPr>
        <w:t>re are</w:t>
      </w:r>
      <w:r w:rsidR="005B3465" w:rsidRPr="00E35F91">
        <w:rPr>
          <w:rFonts w:ascii="Segoe UI" w:hAnsi="Segoe UI" w:cs="Segoe UI"/>
          <w:color w:val="auto"/>
          <w:sz w:val="20"/>
        </w:rPr>
        <w:t xml:space="preserve"> gaps in available data about the unsolicited selling industry, which </w:t>
      </w:r>
      <w:r w:rsidR="0099479D" w:rsidRPr="00E35F91">
        <w:rPr>
          <w:rFonts w:ascii="Segoe UI" w:hAnsi="Segoe UI" w:cs="Segoe UI"/>
          <w:color w:val="auto"/>
          <w:sz w:val="20"/>
        </w:rPr>
        <w:t>is</w:t>
      </w:r>
      <w:r w:rsidR="005B3465" w:rsidRPr="00E35F91">
        <w:rPr>
          <w:rFonts w:ascii="Segoe UI" w:hAnsi="Segoe UI" w:cs="Segoe UI"/>
          <w:color w:val="auto"/>
          <w:sz w:val="20"/>
        </w:rPr>
        <w:t xml:space="preserve"> </w:t>
      </w:r>
      <w:r w:rsidR="007D7B78" w:rsidRPr="00E35F91">
        <w:rPr>
          <w:rFonts w:ascii="Segoe UI" w:hAnsi="Segoe UI" w:cs="Segoe UI"/>
          <w:color w:val="auto"/>
          <w:sz w:val="20"/>
        </w:rPr>
        <w:t>said to overlap</w:t>
      </w:r>
      <w:r w:rsidR="005B3465" w:rsidRPr="00E35F91">
        <w:rPr>
          <w:rFonts w:ascii="Segoe UI" w:hAnsi="Segoe UI" w:cs="Segoe UI"/>
          <w:color w:val="auto"/>
          <w:sz w:val="20"/>
        </w:rPr>
        <w:t xml:space="preserve"> with, but is distinct from, direct selling.   The </w:t>
      </w:r>
      <w:r w:rsidR="007D7B78" w:rsidRPr="00E35F91">
        <w:rPr>
          <w:rFonts w:ascii="Segoe UI" w:hAnsi="Segoe UI" w:cs="Segoe UI"/>
          <w:color w:val="auto"/>
          <w:sz w:val="20"/>
        </w:rPr>
        <w:t>industry views</w:t>
      </w:r>
      <w:r w:rsidR="005B3465" w:rsidRPr="00E35F91">
        <w:rPr>
          <w:rFonts w:ascii="Segoe UI" w:hAnsi="Segoe UI" w:cs="Segoe UI"/>
          <w:color w:val="auto"/>
          <w:sz w:val="20"/>
        </w:rPr>
        <w:t xml:space="preserve"> this differently</w:t>
      </w:r>
      <w:r w:rsidR="00351F59" w:rsidRPr="00E35F91">
        <w:rPr>
          <w:rFonts w:ascii="Segoe UI" w:hAnsi="Segoe UI" w:cs="Segoe UI"/>
          <w:color w:val="auto"/>
          <w:sz w:val="20"/>
        </w:rPr>
        <w:t xml:space="preserve">.   </w:t>
      </w:r>
      <w:r w:rsidR="005B3465" w:rsidRPr="00E35F91">
        <w:rPr>
          <w:rFonts w:ascii="Segoe UI" w:hAnsi="Segoe UI" w:cs="Segoe UI"/>
          <w:color w:val="auto"/>
          <w:sz w:val="20"/>
        </w:rPr>
        <w:t xml:space="preserve">In distributing consumer products and services direct selling </w:t>
      </w:r>
      <w:r w:rsidR="00B52382" w:rsidRPr="00E35F91">
        <w:rPr>
          <w:rFonts w:ascii="Segoe UI" w:hAnsi="Segoe UI" w:cs="Segoe UI"/>
          <w:color w:val="auto"/>
          <w:sz w:val="20"/>
        </w:rPr>
        <w:t>entities, including DSA members and their independently contracted distributors, use</w:t>
      </w:r>
      <w:r w:rsidR="005B3465" w:rsidRPr="00E35F91">
        <w:rPr>
          <w:rFonts w:ascii="Segoe UI" w:hAnsi="Segoe UI" w:cs="Segoe UI"/>
          <w:color w:val="auto"/>
          <w:sz w:val="20"/>
        </w:rPr>
        <w:t xml:space="preserve"> </w:t>
      </w:r>
      <w:r w:rsidR="00B52382" w:rsidRPr="00E35F91">
        <w:rPr>
          <w:rFonts w:ascii="Segoe UI" w:hAnsi="Segoe UI" w:cs="Segoe UI"/>
          <w:color w:val="auto"/>
          <w:sz w:val="20"/>
        </w:rPr>
        <w:t>various marketing and sales methods</w:t>
      </w:r>
      <w:r w:rsidR="00351F59" w:rsidRPr="00E35F91">
        <w:rPr>
          <w:rFonts w:ascii="Segoe UI" w:hAnsi="Segoe UI" w:cs="Segoe UI"/>
          <w:color w:val="auto"/>
          <w:sz w:val="20"/>
        </w:rPr>
        <w:t xml:space="preserve"> including</w:t>
      </w:r>
      <w:r w:rsidR="00B52382" w:rsidRPr="00E35F91">
        <w:rPr>
          <w:rFonts w:ascii="Segoe UI" w:hAnsi="Segoe UI" w:cs="Segoe UI"/>
          <w:color w:val="auto"/>
          <w:sz w:val="20"/>
        </w:rPr>
        <w:t xml:space="preserve"> </w:t>
      </w:r>
      <w:r w:rsidR="005B3465" w:rsidRPr="00E35F91">
        <w:rPr>
          <w:rFonts w:ascii="Segoe UI" w:hAnsi="Segoe UI" w:cs="Segoe UI"/>
          <w:color w:val="auto"/>
          <w:sz w:val="20"/>
        </w:rPr>
        <w:t>door-to-door, party plan and person-to-person models</w:t>
      </w:r>
      <w:r w:rsidR="00351F59" w:rsidRPr="00E35F91">
        <w:rPr>
          <w:rFonts w:ascii="Segoe UI" w:hAnsi="Segoe UI" w:cs="Segoe UI"/>
          <w:color w:val="auto"/>
          <w:sz w:val="20"/>
        </w:rPr>
        <w:t xml:space="preserve">.   </w:t>
      </w:r>
      <w:r w:rsidR="007D7B78" w:rsidRPr="00E35F91">
        <w:rPr>
          <w:rFonts w:ascii="Segoe UI" w:hAnsi="Segoe UI" w:cs="Segoe UI"/>
          <w:color w:val="auto"/>
          <w:sz w:val="20"/>
        </w:rPr>
        <w:t>Any “unsolicited selling industry” is</w:t>
      </w:r>
      <w:r w:rsidR="00930109" w:rsidRPr="00E35F91">
        <w:rPr>
          <w:rFonts w:ascii="Segoe UI" w:hAnsi="Segoe UI" w:cs="Segoe UI"/>
          <w:color w:val="auto"/>
          <w:sz w:val="20"/>
        </w:rPr>
        <w:t xml:space="preserve"> just </w:t>
      </w:r>
      <w:r w:rsidR="0099479D" w:rsidRPr="00E35F91">
        <w:rPr>
          <w:rFonts w:ascii="Segoe UI" w:hAnsi="Segoe UI" w:cs="Segoe UI"/>
          <w:color w:val="auto"/>
          <w:sz w:val="20"/>
        </w:rPr>
        <w:t>a c</w:t>
      </w:r>
      <w:r w:rsidR="00930109" w:rsidRPr="00E35F91">
        <w:rPr>
          <w:rFonts w:ascii="Segoe UI" w:hAnsi="Segoe UI" w:cs="Segoe UI"/>
          <w:color w:val="auto"/>
          <w:sz w:val="20"/>
        </w:rPr>
        <w:t xml:space="preserve">ategorisation </w:t>
      </w:r>
      <w:r w:rsidR="007D7B78" w:rsidRPr="00E35F91">
        <w:rPr>
          <w:rFonts w:ascii="Segoe UI" w:hAnsi="Segoe UI" w:cs="Segoe UI"/>
          <w:color w:val="auto"/>
          <w:sz w:val="20"/>
        </w:rPr>
        <w:t>of the reach of</w:t>
      </w:r>
      <w:r w:rsidR="00930109" w:rsidRPr="00E35F91">
        <w:rPr>
          <w:rFonts w:ascii="Segoe UI" w:hAnsi="Segoe UI" w:cs="Segoe UI"/>
          <w:color w:val="auto"/>
          <w:sz w:val="20"/>
        </w:rPr>
        <w:t xml:space="preserve"> unsolicited selling provisions (with exemptions) to </w:t>
      </w:r>
      <w:r w:rsidR="007D7B78" w:rsidRPr="00E35F91">
        <w:rPr>
          <w:rFonts w:ascii="Segoe UI" w:hAnsi="Segoe UI" w:cs="Segoe UI"/>
          <w:color w:val="auto"/>
          <w:sz w:val="20"/>
        </w:rPr>
        <w:t xml:space="preserve">their </w:t>
      </w:r>
      <w:r w:rsidR="00930109" w:rsidRPr="00E35F91">
        <w:rPr>
          <w:rFonts w:ascii="Segoe UI" w:hAnsi="Segoe UI" w:cs="Segoe UI"/>
          <w:color w:val="auto"/>
          <w:sz w:val="20"/>
        </w:rPr>
        <w:t xml:space="preserve">direct selling activity.   </w:t>
      </w:r>
    </w:p>
    <w:p w:rsidR="004C615A" w:rsidRPr="00E35F91" w:rsidRDefault="005B3465" w:rsidP="00DC6360">
      <w:pPr>
        <w:jc w:val="both"/>
        <w:rPr>
          <w:rFonts w:ascii="Segoe UI" w:hAnsi="Segoe UI" w:cs="Segoe UI"/>
          <w:color w:val="auto"/>
          <w:sz w:val="20"/>
        </w:rPr>
      </w:pPr>
      <w:r w:rsidRPr="00E35F91">
        <w:rPr>
          <w:rFonts w:ascii="Segoe UI" w:hAnsi="Segoe UI" w:cs="Segoe UI"/>
          <w:color w:val="auto"/>
          <w:sz w:val="20"/>
        </w:rPr>
        <w:t xml:space="preserve">CAANZ </w:t>
      </w:r>
      <w:r w:rsidR="00C365BA" w:rsidRPr="00E35F91">
        <w:rPr>
          <w:rFonts w:ascii="Segoe UI" w:hAnsi="Segoe UI" w:cs="Segoe UI"/>
          <w:color w:val="auto"/>
          <w:sz w:val="20"/>
        </w:rPr>
        <w:t>notes that in the absence of robust evidence of consumer harm caused by unsolicited sales there are</w:t>
      </w:r>
      <w:r w:rsidRPr="00E35F91">
        <w:rPr>
          <w:rFonts w:ascii="Segoe UI" w:hAnsi="Segoe UI" w:cs="Segoe UI"/>
          <w:color w:val="auto"/>
          <w:sz w:val="20"/>
        </w:rPr>
        <w:t xml:space="preserve"> risks in changing the current balance of the unsolicited selling </w:t>
      </w:r>
      <w:r w:rsidR="00C365BA" w:rsidRPr="00E35F91">
        <w:rPr>
          <w:rFonts w:ascii="Segoe UI" w:hAnsi="Segoe UI" w:cs="Segoe UI"/>
          <w:color w:val="auto"/>
          <w:sz w:val="20"/>
        </w:rPr>
        <w:t xml:space="preserve">provisions.   </w:t>
      </w:r>
      <w:r w:rsidR="004C615A" w:rsidRPr="00E35F91">
        <w:rPr>
          <w:rFonts w:ascii="Segoe UI" w:hAnsi="Segoe UI" w:cs="Segoe UI"/>
          <w:color w:val="auto"/>
          <w:sz w:val="20"/>
        </w:rPr>
        <w:t xml:space="preserve">DSA </w:t>
      </w:r>
      <w:r w:rsidR="00C365BA" w:rsidRPr="00E35F91">
        <w:rPr>
          <w:rFonts w:ascii="Segoe UI" w:hAnsi="Segoe UI" w:cs="Segoe UI"/>
          <w:color w:val="auto"/>
          <w:sz w:val="20"/>
        </w:rPr>
        <w:t>acknowledges</w:t>
      </w:r>
      <w:r w:rsidR="004C615A" w:rsidRPr="00E35F91">
        <w:rPr>
          <w:rFonts w:ascii="Segoe UI" w:hAnsi="Segoe UI" w:cs="Segoe UI"/>
          <w:color w:val="auto"/>
          <w:sz w:val="20"/>
        </w:rPr>
        <w:t xml:space="preserve"> this </w:t>
      </w:r>
      <w:r w:rsidR="004C615A" w:rsidRPr="00E35F91">
        <w:rPr>
          <w:rFonts w:ascii="Segoe UI" w:hAnsi="Segoe UI" w:cs="Segoe UI"/>
          <w:color w:val="auto"/>
          <w:sz w:val="20"/>
        </w:rPr>
        <w:lastRenderedPageBreak/>
        <w:t>lack of evidence of industry performance.   It also notes there was no evidence-based support for the ACL’s existing regulation of unsolicited selling, particularly its movement from home and workplace transactions to anything not considered store selling.   Equally there was no evidence to support the Section 86 payment and supply restrictions</w:t>
      </w:r>
      <w:r w:rsidR="00CA4EED" w:rsidRPr="00E35F91">
        <w:rPr>
          <w:rFonts w:ascii="Segoe UI" w:hAnsi="Segoe UI" w:cs="Segoe UI"/>
          <w:color w:val="auto"/>
          <w:sz w:val="20"/>
        </w:rPr>
        <w:t xml:space="preserve">, and this same lack of evidence could be </w:t>
      </w:r>
      <w:r w:rsidR="00C365BA" w:rsidRPr="00E35F91">
        <w:rPr>
          <w:rFonts w:ascii="Segoe UI" w:hAnsi="Segoe UI" w:cs="Segoe UI"/>
          <w:color w:val="auto"/>
          <w:sz w:val="20"/>
        </w:rPr>
        <w:t>levelled at</w:t>
      </w:r>
      <w:r w:rsidR="00CA4EED" w:rsidRPr="00E35F91">
        <w:rPr>
          <w:rFonts w:ascii="Segoe UI" w:hAnsi="Segoe UI" w:cs="Segoe UI"/>
          <w:color w:val="auto"/>
          <w:sz w:val="20"/>
        </w:rPr>
        <w:t xml:space="preserve"> options</w:t>
      </w:r>
      <w:r w:rsidR="004C615A" w:rsidRPr="00E35F91">
        <w:rPr>
          <w:rFonts w:ascii="Segoe UI" w:hAnsi="Segoe UI" w:cs="Segoe UI"/>
          <w:color w:val="auto"/>
          <w:sz w:val="20"/>
        </w:rPr>
        <w:t xml:space="preserve"> identified in</w:t>
      </w:r>
      <w:r w:rsidRPr="00E35F91">
        <w:rPr>
          <w:rFonts w:ascii="Segoe UI" w:hAnsi="Segoe UI" w:cs="Segoe UI"/>
          <w:color w:val="auto"/>
          <w:sz w:val="20"/>
        </w:rPr>
        <w:t xml:space="preserve"> the </w:t>
      </w:r>
      <w:r w:rsidR="004C615A" w:rsidRPr="00E35F91">
        <w:rPr>
          <w:rFonts w:ascii="Segoe UI" w:hAnsi="Segoe UI" w:cs="Segoe UI"/>
          <w:color w:val="auto"/>
          <w:sz w:val="20"/>
        </w:rPr>
        <w:t xml:space="preserve">Interim </w:t>
      </w:r>
      <w:r w:rsidRPr="00E35F91">
        <w:rPr>
          <w:rFonts w:ascii="Segoe UI" w:hAnsi="Segoe UI" w:cs="Segoe UI"/>
          <w:color w:val="auto"/>
          <w:sz w:val="20"/>
        </w:rPr>
        <w:t xml:space="preserve">Report.   </w:t>
      </w:r>
    </w:p>
    <w:p w:rsidR="006D2CE9" w:rsidRDefault="006D2CE9" w:rsidP="00DC6360">
      <w:pPr>
        <w:jc w:val="both"/>
        <w:rPr>
          <w:rFonts w:ascii="Segoe UI" w:hAnsi="Segoe UI" w:cs="Segoe UI"/>
          <w:color w:val="auto"/>
          <w:sz w:val="20"/>
        </w:rPr>
      </w:pPr>
      <w:r w:rsidRPr="00E35F91">
        <w:rPr>
          <w:rFonts w:ascii="Segoe UI" w:hAnsi="Segoe UI" w:cs="Segoe UI"/>
          <w:color w:val="auto"/>
          <w:sz w:val="20"/>
        </w:rPr>
        <w:t xml:space="preserve">In the absence of </w:t>
      </w:r>
      <w:r w:rsidR="0091640D" w:rsidRPr="00E35F91">
        <w:rPr>
          <w:rFonts w:ascii="Segoe UI" w:hAnsi="Segoe UI" w:cs="Segoe UI"/>
          <w:color w:val="auto"/>
          <w:sz w:val="20"/>
        </w:rPr>
        <w:t>r</w:t>
      </w:r>
      <w:r w:rsidRPr="00E35F91">
        <w:rPr>
          <w:rFonts w:ascii="Segoe UI" w:hAnsi="Segoe UI" w:cs="Segoe UI"/>
          <w:color w:val="auto"/>
          <w:sz w:val="20"/>
        </w:rPr>
        <w:t>obust evidence</w:t>
      </w:r>
      <w:r w:rsidR="0091640D" w:rsidRPr="00E35F91">
        <w:rPr>
          <w:rFonts w:ascii="Segoe UI" w:hAnsi="Segoe UI" w:cs="Segoe UI"/>
          <w:color w:val="auto"/>
          <w:sz w:val="20"/>
        </w:rPr>
        <w:t xml:space="preserve">, </w:t>
      </w:r>
      <w:r w:rsidRPr="00E35F91">
        <w:rPr>
          <w:rFonts w:ascii="Segoe UI" w:hAnsi="Segoe UI" w:cs="Segoe UI"/>
          <w:color w:val="auto"/>
          <w:sz w:val="20"/>
        </w:rPr>
        <w:t xml:space="preserve">changing market conditions and no </w:t>
      </w:r>
      <w:r w:rsidR="004B13BB" w:rsidRPr="00E35F91">
        <w:rPr>
          <w:rFonts w:ascii="Segoe UI" w:hAnsi="Segoe UI" w:cs="Segoe UI"/>
          <w:color w:val="auto"/>
          <w:sz w:val="20"/>
        </w:rPr>
        <w:t xml:space="preserve">real </w:t>
      </w:r>
      <w:r w:rsidR="000A7C15" w:rsidRPr="00E35F91">
        <w:rPr>
          <w:rFonts w:ascii="Segoe UI" w:hAnsi="Segoe UI" w:cs="Segoe UI"/>
          <w:color w:val="auto"/>
          <w:sz w:val="20"/>
        </w:rPr>
        <w:t>measurement</w:t>
      </w:r>
      <w:r w:rsidR="004B13BB" w:rsidRPr="00E35F91">
        <w:rPr>
          <w:rFonts w:ascii="Segoe UI" w:hAnsi="Segoe UI" w:cs="Segoe UI"/>
          <w:color w:val="auto"/>
          <w:sz w:val="20"/>
        </w:rPr>
        <w:t xml:space="preserve"> </w:t>
      </w:r>
      <w:r w:rsidRPr="00E35F91">
        <w:rPr>
          <w:rFonts w:ascii="Segoe UI" w:hAnsi="Segoe UI" w:cs="Segoe UI"/>
          <w:color w:val="auto"/>
          <w:sz w:val="20"/>
        </w:rPr>
        <w:t>of business compliance or consumer utilisation of unsolicited selling provisions there may no risk from an alternative regulatory approach.</w:t>
      </w:r>
    </w:p>
    <w:p w:rsidR="00E35F91" w:rsidRPr="00E35F91" w:rsidRDefault="00E35F91" w:rsidP="00DC6360">
      <w:pPr>
        <w:jc w:val="both"/>
        <w:rPr>
          <w:rFonts w:ascii="Segoe UI" w:hAnsi="Segoe UI" w:cs="Segoe UI"/>
          <w:color w:val="auto"/>
          <w:sz w:val="20"/>
        </w:rPr>
      </w:pPr>
    </w:p>
    <w:p w:rsidR="005B3465" w:rsidRPr="00E35F91" w:rsidRDefault="005B3465" w:rsidP="00DC6360">
      <w:pPr>
        <w:jc w:val="both"/>
        <w:rPr>
          <w:rFonts w:ascii="Segoe UI" w:hAnsi="Segoe UI" w:cs="Segoe UI"/>
          <w:color w:val="auto"/>
          <w:sz w:val="20"/>
        </w:rPr>
      </w:pPr>
      <w:r w:rsidRPr="00E35F91">
        <w:rPr>
          <w:rFonts w:ascii="Segoe UI" w:hAnsi="Segoe UI" w:cs="Segoe UI"/>
          <w:color w:val="auto"/>
          <w:sz w:val="20"/>
        </w:rPr>
        <w:t>CAANZ also notes the current provisions are “technology neutral</w:t>
      </w:r>
      <w:r w:rsidR="006D2CE9" w:rsidRPr="00E35F91">
        <w:rPr>
          <w:rFonts w:ascii="Segoe UI" w:hAnsi="Segoe UI" w:cs="Segoe UI"/>
          <w:color w:val="auto"/>
          <w:sz w:val="20"/>
        </w:rPr>
        <w:t xml:space="preserve">”, </w:t>
      </w:r>
      <w:r w:rsidRPr="00E35F91">
        <w:rPr>
          <w:rFonts w:ascii="Segoe UI" w:hAnsi="Segoe UI" w:cs="Segoe UI"/>
          <w:color w:val="auto"/>
          <w:sz w:val="20"/>
        </w:rPr>
        <w:t>reach a wide range of selling locations and allow the law to adapt to market changes</w:t>
      </w:r>
      <w:r w:rsidR="006D2CE9" w:rsidRPr="00E35F91">
        <w:rPr>
          <w:rFonts w:ascii="Segoe UI" w:hAnsi="Segoe UI" w:cs="Segoe UI"/>
          <w:color w:val="auto"/>
          <w:sz w:val="20"/>
        </w:rPr>
        <w:t xml:space="preserve"> by capturing</w:t>
      </w:r>
      <w:r w:rsidRPr="00E35F91">
        <w:rPr>
          <w:rFonts w:ascii="Segoe UI" w:hAnsi="Segoe UI" w:cs="Segoe UI"/>
          <w:color w:val="auto"/>
          <w:sz w:val="20"/>
        </w:rPr>
        <w:t xml:space="preserve"> new and emerging sales practices.   DSA submits the unsolicited selling provisions are not technology neutral and do not </w:t>
      </w:r>
      <w:r w:rsidR="006D2CE9" w:rsidRPr="00E35F91">
        <w:rPr>
          <w:rFonts w:ascii="Segoe UI" w:hAnsi="Segoe UI" w:cs="Segoe UI"/>
          <w:color w:val="auto"/>
          <w:sz w:val="20"/>
        </w:rPr>
        <w:t xml:space="preserve">have the </w:t>
      </w:r>
      <w:r w:rsidR="000A7C15" w:rsidRPr="00E35F91">
        <w:rPr>
          <w:rFonts w:ascii="Segoe UI" w:hAnsi="Segoe UI" w:cs="Segoe UI"/>
          <w:color w:val="auto"/>
          <w:sz w:val="20"/>
        </w:rPr>
        <w:t xml:space="preserve">desired </w:t>
      </w:r>
      <w:r w:rsidR="006D2CE9" w:rsidRPr="00E35F91">
        <w:rPr>
          <w:rFonts w:ascii="Segoe UI" w:hAnsi="Segoe UI" w:cs="Segoe UI"/>
          <w:color w:val="auto"/>
          <w:sz w:val="20"/>
        </w:rPr>
        <w:t xml:space="preserve">flexibility to meet new sales practices.   </w:t>
      </w:r>
      <w:r w:rsidRPr="00E35F91">
        <w:rPr>
          <w:rFonts w:ascii="Segoe UI" w:hAnsi="Segoe UI" w:cs="Segoe UI"/>
          <w:color w:val="auto"/>
          <w:sz w:val="20"/>
        </w:rPr>
        <w:t xml:space="preserve">This lack of flexibility is shown in </w:t>
      </w:r>
      <w:r w:rsidR="004B13BB" w:rsidRPr="00E35F91">
        <w:rPr>
          <w:rFonts w:ascii="Segoe UI" w:hAnsi="Segoe UI" w:cs="Segoe UI"/>
          <w:color w:val="auto"/>
          <w:sz w:val="20"/>
        </w:rPr>
        <w:t>previous submissions.</w:t>
      </w:r>
      <w:r w:rsidR="004B13BB" w:rsidRPr="00E35F91">
        <w:rPr>
          <w:rStyle w:val="FootnoteReference"/>
          <w:rFonts w:ascii="Segoe UI" w:hAnsi="Segoe UI" w:cs="Segoe UI"/>
          <w:color w:val="auto"/>
          <w:sz w:val="20"/>
        </w:rPr>
        <w:footnoteReference w:id="7"/>
      </w:r>
      <w:r w:rsidR="004B13BB" w:rsidRPr="00E35F91">
        <w:rPr>
          <w:rFonts w:ascii="Segoe UI" w:hAnsi="Segoe UI" w:cs="Segoe UI"/>
          <w:color w:val="auto"/>
          <w:sz w:val="20"/>
        </w:rPr>
        <w:t xml:space="preserve"> </w:t>
      </w:r>
    </w:p>
    <w:p w:rsidR="005B3465" w:rsidRPr="00E35F91" w:rsidRDefault="005B3465" w:rsidP="00DC6360">
      <w:pPr>
        <w:jc w:val="both"/>
        <w:rPr>
          <w:rFonts w:ascii="Segoe UI" w:hAnsi="Segoe UI" w:cs="Segoe UI"/>
          <w:color w:val="auto"/>
          <w:sz w:val="20"/>
        </w:rPr>
      </w:pPr>
      <w:r w:rsidRPr="00E35F91">
        <w:rPr>
          <w:rFonts w:ascii="Segoe UI" w:hAnsi="Segoe UI" w:cs="Segoe UI"/>
          <w:color w:val="auto"/>
          <w:sz w:val="20"/>
        </w:rPr>
        <w:t xml:space="preserve">Relevantly an unsolicited selling agreement anticipates negotiations between a dealer and consumer “in each other’s presence”.   This physical presence is reinforced </w:t>
      </w:r>
      <w:r w:rsidR="000A7C15" w:rsidRPr="00E35F91">
        <w:rPr>
          <w:rFonts w:ascii="Segoe UI" w:hAnsi="Segoe UI" w:cs="Segoe UI"/>
          <w:color w:val="auto"/>
          <w:sz w:val="20"/>
        </w:rPr>
        <w:t>by</w:t>
      </w:r>
      <w:r w:rsidRPr="00E35F91">
        <w:rPr>
          <w:rFonts w:ascii="Segoe UI" w:hAnsi="Segoe UI" w:cs="Segoe UI"/>
          <w:color w:val="auto"/>
          <w:sz w:val="20"/>
        </w:rPr>
        <w:t xml:space="preserve"> separate </w:t>
      </w:r>
      <w:r w:rsidR="000A7C15" w:rsidRPr="00E35F91">
        <w:rPr>
          <w:rFonts w:ascii="Segoe UI" w:hAnsi="Segoe UI" w:cs="Segoe UI"/>
          <w:color w:val="auto"/>
          <w:sz w:val="20"/>
        </w:rPr>
        <w:t>recognition</w:t>
      </w:r>
      <w:r w:rsidRPr="00E35F91">
        <w:rPr>
          <w:rFonts w:ascii="Segoe UI" w:hAnsi="Segoe UI" w:cs="Segoe UI"/>
          <w:color w:val="auto"/>
          <w:sz w:val="20"/>
        </w:rPr>
        <w:t xml:space="preserve"> of “telephone” negotiations.   </w:t>
      </w:r>
      <w:r w:rsidR="000408E7" w:rsidRPr="00E35F91">
        <w:rPr>
          <w:rFonts w:ascii="Segoe UI" w:hAnsi="Segoe UI" w:cs="Segoe UI"/>
          <w:color w:val="auto"/>
          <w:sz w:val="20"/>
        </w:rPr>
        <w:t>It is</w:t>
      </w:r>
      <w:r w:rsidRPr="00E35F91">
        <w:rPr>
          <w:rFonts w:ascii="Segoe UI" w:hAnsi="Segoe UI" w:cs="Segoe UI"/>
          <w:color w:val="auto"/>
          <w:sz w:val="20"/>
        </w:rPr>
        <w:t xml:space="preserve"> also clear from </w:t>
      </w:r>
      <w:r w:rsidR="000A7C15" w:rsidRPr="00E35F91">
        <w:rPr>
          <w:rFonts w:ascii="Segoe UI" w:hAnsi="Segoe UI" w:cs="Segoe UI"/>
          <w:color w:val="auto"/>
          <w:sz w:val="20"/>
        </w:rPr>
        <w:t xml:space="preserve">the </w:t>
      </w:r>
      <w:r w:rsidRPr="00E35F91">
        <w:rPr>
          <w:rFonts w:ascii="Segoe UI" w:hAnsi="Segoe UI" w:cs="Segoe UI"/>
          <w:color w:val="auto"/>
          <w:sz w:val="20"/>
        </w:rPr>
        <w:t>meanings given to “dealer” and “negotiation</w:t>
      </w:r>
      <w:r w:rsidR="000A7C15" w:rsidRPr="00E35F91">
        <w:rPr>
          <w:rFonts w:ascii="Segoe UI" w:hAnsi="Segoe UI" w:cs="Segoe UI"/>
          <w:color w:val="auto"/>
          <w:sz w:val="20"/>
        </w:rPr>
        <w:t>”,</w:t>
      </w:r>
      <w:r w:rsidRPr="00E35F91">
        <w:rPr>
          <w:rFonts w:ascii="Segoe UI" w:hAnsi="Segoe UI" w:cs="Segoe UI"/>
          <w:color w:val="auto"/>
          <w:sz w:val="20"/>
        </w:rPr>
        <w:t xml:space="preserve"> and other aspects of unsolicited selling</w:t>
      </w:r>
      <w:r w:rsidR="004B13BB" w:rsidRPr="00E35F91">
        <w:rPr>
          <w:rFonts w:ascii="Segoe UI" w:hAnsi="Segoe UI" w:cs="Segoe UI"/>
          <w:color w:val="auto"/>
          <w:sz w:val="20"/>
        </w:rPr>
        <w:t xml:space="preserve"> regulation.</w:t>
      </w:r>
      <w:r w:rsidR="004B13BB" w:rsidRPr="00E35F91">
        <w:rPr>
          <w:rStyle w:val="FootnoteReference"/>
          <w:rFonts w:ascii="Segoe UI" w:hAnsi="Segoe UI" w:cs="Segoe UI"/>
          <w:color w:val="auto"/>
          <w:sz w:val="20"/>
        </w:rPr>
        <w:footnoteReference w:id="8"/>
      </w:r>
      <w:r w:rsidR="004B13BB" w:rsidRPr="00E35F91">
        <w:rPr>
          <w:rFonts w:ascii="Segoe UI" w:hAnsi="Segoe UI" w:cs="Segoe UI"/>
          <w:color w:val="auto"/>
          <w:sz w:val="20"/>
        </w:rPr>
        <w:t xml:space="preserve">   </w:t>
      </w:r>
      <w:r w:rsidRPr="00E35F91">
        <w:rPr>
          <w:rFonts w:ascii="Segoe UI" w:hAnsi="Segoe UI" w:cs="Segoe UI"/>
          <w:color w:val="auto"/>
          <w:sz w:val="20"/>
        </w:rPr>
        <w:t xml:space="preserve">DSA notes the extensive “paper based” requirements, including for telemarketing sales.   </w:t>
      </w:r>
      <w:r w:rsidR="005555B7" w:rsidRPr="00E35F91">
        <w:rPr>
          <w:rFonts w:ascii="Segoe UI" w:hAnsi="Segoe UI" w:cs="Segoe UI"/>
          <w:color w:val="auto"/>
          <w:sz w:val="20"/>
        </w:rPr>
        <w:t>Given this,</w:t>
      </w:r>
      <w:r w:rsidRPr="00E35F91">
        <w:rPr>
          <w:rFonts w:ascii="Segoe UI" w:hAnsi="Segoe UI" w:cs="Segoe UI"/>
          <w:color w:val="auto"/>
          <w:sz w:val="20"/>
        </w:rPr>
        <w:t xml:space="preserve"> DSA </w:t>
      </w:r>
      <w:r w:rsidR="005555B7" w:rsidRPr="00E35F91">
        <w:rPr>
          <w:rFonts w:ascii="Segoe UI" w:hAnsi="Segoe UI" w:cs="Segoe UI"/>
          <w:color w:val="auto"/>
          <w:sz w:val="20"/>
        </w:rPr>
        <w:t xml:space="preserve">does not accept the unsolicited selling provisions </w:t>
      </w:r>
      <w:r w:rsidRPr="00E35F91">
        <w:rPr>
          <w:rFonts w:ascii="Segoe UI" w:hAnsi="Segoe UI" w:cs="Segoe UI"/>
          <w:color w:val="auto"/>
          <w:sz w:val="20"/>
        </w:rPr>
        <w:t xml:space="preserve">reach sales made through the increasingly popular </w:t>
      </w:r>
      <w:r w:rsidR="00DB224D" w:rsidRPr="00E35F91">
        <w:rPr>
          <w:rFonts w:ascii="Segoe UI" w:hAnsi="Segoe UI" w:cs="Segoe UI"/>
          <w:color w:val="auto"/>
          <w:sz w:val="20"/>
        </w:rPr>
        <w:t xml:space="preserve">social media </w:t>
      </w:r>
      <w:r w:rsidRPr="00E35F91">
        <w:rPr>
          <w:rFonts w:ascii="Segoe UI" w:hAnsi="Segoe UI" w:cs="Segoe UI"/>
          <w:color w:val="auto"/>
          <w:sz w:val="20"/>
        </w:rPr>
        <w:t>channels</w:t>
      </w:r>
      <w:r w:rsidR="001A5726" w:rsidRPr="00E35F91">
        <w:rPr>
          <w:rStyle w:val="FootnoteReference"/>
          <w:rFonts w:ascii="Segoe UI" w:hAnsi="Segoe UI" w:cs="Segoe UI"/>
          <w:color w:val="auto"/>
          <w:sz w:val="20"/>
        </w:rPr>
        <w:footnoteReference w:id="9"/>
      </w:r>
      <w:r w:rsidRPr="00E35F91">
        <w:rPr>
          <w:rFonts w:ascii="Segoe UI" w:hAnsi="Segoe UI" w:cs="Segoe UI"/>
          <w:color w:val="auto"/>
          <w:sz w:val="20"/>
        </w:rPr>
        <w:t xml:space="preserve"> </w:t>
      </w:r>
      <w:r w:rsidR="001A5726" w:rsidRPr="00E35F91">
        <w:rPr>
          <w:rFonts w:ascii="Segoe UI" w:hAnsi="Segoe UI" w:cs="Segoe UI"/>
          <w:color w:val="auto"/>
          <w:sz w:val="20"/>
        </w:rPr>
        <w:t>a</w:t>
      </w:r>
      <w:r w:rsidRPr="00E35F91">
        <w:rPr>
          <w:rFonts w:ascii="Segoe UI" w:hAnsi="Segoe UI" w:cs="Segoe UI"/>
          <w:color w:val="auto"/>
          <w:sz w:val="20"/>
        </w:rPr>
        <w:t>nd other online selling.</w:t>
      </w:r>
    </w:p>
    <w:p w:rsidR="005B3465" w:rsidRPr="00E35F91" w:rsidRDefault="005B3465" w:rsidP="00DC6360">
      <w:pPr>
        <w:jc w:val="both"/>
        <w:rPr>
          <w:rFonts w:ascii="Segoe UI" w:hAnsi="Segoe UI" w:cs="Segoe UI"/>
          <w:color w:val="auto"/>
          <w:sz w:val="20"/>
        </w:rPr>
      </w:pPr>
      <w:r w:rsidRPr="00E35F91">
        <w:rPr>
          <w:rFonts w:ascii="Segoe UI" w:hAnsi="Segoe UI" w:cs="Segoe UI"/>
          <w:color w:val="auto"/>
          <w:sz w:val="20"/>
        </w:rPr>
        <w:t xml:space="preserve">Central to DSA concerns with the unsolicited selling provisions is the effect of its highly prescriptive </w:t>
      </w:r>
      <w:r w:rsidR="00BA461A" w:rsidRPr="00E35F91">
        <w:rPr>
          <w:rFonts w:ascii="Segoe UI" w:hAnsi="Segoe UI" w:cs="Segoe UI"/>
          <w:color w:val="auto"/>
          <w:sz w:val="20"/>
        </w:rPr>
        <w:t>approach</w:t>
      </w:r>
      <w:r w:rsidRPr="00E35F91">
        <w:rPr>
          <w:rFonts w:ascii="Segoe UI" w:hAnsi="Segoe UI" w:cs="Segoe UI"/>
          <w:color w:val="auto"/>
          <w:sz w:val="20"/>
        </w:rPr>
        <w:t xml:space="preserve"> on increasing</w:t>
      </w:r>
      <w:r w:rsidR="00DB224D" w:rsidRPr="00E35F91">
        <w:rPr>
          <w:rFonts w:ascii="Segoe UI" w:hAnsi="Segoe UI" w:cs="Segoe UI"/>
          <w:color w:val="auto"/>
          <w:sz w:val="20"/>
        </w:rPr>
        <w:t>ly</w:t>
      </w:r>
      <w:r w:rsidRPr="00E35F91">
        <w:rPr>
          <w:rFonts w:ascii="Segoe UI" w:hAnsi="Segoe UI" w:cs="Segoe UI"/>
          <w:color w:val="auto"/>
          <w:sz w:val="20"/>
        </w:rPr>
        <w:t xml:space="preserve"> consumer driven convergence in retail models.   DSA notes arguments for growing or maintaining current regulation </w:t>
      </w:r>
      <w:r w:rsidR="00BA461A" w:rsidRPr="00E35F91">
        <w:rPr>
          <w:rFonts w:ascii="Segoe UI" w:hAnsi="Segoe UI" w:cs="Segoe UI"/>
          <w:color w:val="auto"/>
          <w:sz w:val="20"/>
        </w:rPr>
        <w:t>do not</w:t>
      </w:r>
      <w:r w:rsidRPr="00E35F91">
        <w:rPr>
          <w:rFonts w:ascii="Segoe UI" w:hAnsi="Segoe UI" w:cs="Segoe UI"/>
          <w:color w:val="auto"/>
          <w:sz w:val="20"/>
        </w:rPr>
        <w:t xml:space="preserve"> acknowledge this and </w:t>
      </w:r>
      <w:r w:rsidR="00BA461A" w:rsidRPr="00E35F91">
        <w:rPr>
          <w:rFonts w:ascii="Segoe UI" w:hAnsi="Segoe UI" w:cs="Segoe UI"/>
          <w:color w:val="auto"/>
          <w:sz w:val="20"/>
        </w:rPr>
        <w:t>are</w:t>
      </w:r>
      <w:r w:rsidRPr="00E35F91">
        <w:rPr>
          <w:rFonts w:ascii="Segoe UI" w:hAnsi="Segoe UI" w:cs="Segoe UI"/>
          <w:color w:val="auto"/>
          <w:sz w:val="20"/>
        </w:rPr>
        <w:t xml:space="preserve"> largely based on anecdotal evidence without any </w:t>
      </w:r>
      <w:r w:rsidR="00BA461A" w:rsidRPr="00E35F91">
        <w:rPr>
          <w:rFonts w:ascii="Segoe UI" w:hAnsi="Segoe UI" w:cs="Segoe UI"/>
          <w:color w:val="auto"/>
          <w:sz w:val="20"/>
        </w:rPr>
        <w:t xml:space="preserve">real market trends analysis.   </w:t>
      </w:r>
      <w:r w:rsidRPr="00E35F91">
        <w:rPr>
          <w:rFonts w:ascii="Segoe UI" w:hAnsi="Segoe UI" w:cs="Segoe UI"/>
          <w:color w:val="auto"/>
          <w:sz w:val="20"/>
        </w:rPr>
        <w:t xml:space="preserve">Nonetheless it </w:t>
      </w:r>
      <w:r w:rsidR="00DB224D" w:rsidRPr="00E35F91">
        <w:rPr>
          <w:rFonts w:ascii="Segoe UI" w:hAnsi="Segoe UI" w:cs="Segoe UI"/>
          <w:color w:val="auto"/>
          <w:sz w:val="20"/>
        </w:rPr>
        <w:t>notes</w:t>
      </w:r>
      <w:r w:rsidRPr="00E35F91">
        <w:rPr>
          <w:rFonts w:ascii="Segoe UI" w:hAnsi="Segoe UI" w:cs="Segoe UI"/>
          <w:color w:val="auto"/>
          <w:sz w:val="20"/>
        </w:rPr>
        <w:t xml:space="preserve"> the potential for consumer detriment in some door-to-door selling</w:t>
      </w:r>
      <w:r w:rsidR="00DB224D" w:rsidRPr="00E35F91">
        <w:rPr>
          <w:rFonts w:ascii="Segoe UI" w:hAnsi="Segoe UI" w:cs="Segoe UI"/>
          <w:color w:val="auto"/>
          <w:sz w:val="20"/>
        </w:rPr>
        <w:t xml:space="preserve"> and the extent to which systemic issues have been addressed through general ACL provisions.</w:t>
      </w:r>
      <w:r w:rsidRPr="00E35F91">
        <w:rPr>
          <w:rFonts w:ascii="Segoe UI" w:hAnsi="Segoe UI" w:cs="Segoe UI"/>
          <w:color w:val="auto"/>
          <w:sz w:val="20"/>
        </w:rPr>
        <w:t xml:space="preserve">  </w:t>
      </w:r>
    </w:p>
    <w:p w:rsidR="005B3465" w:rsidRPr="00E35F91" w:rsidRDefault="005B3465" w:rsidP="00DC6360">
      <w:pPr>
        <w:pStyle w:val="NoSpacing"/>
        <w:jc w:val="both"/>
        <w:rPr>
          <w:rFonts w:ascii="Segoe UI" w:hAnsi="Segoe UI" w:cs="Segoe UI"/>
          <w:color w:val="auto"/>
          <w:sz w:val="20"/>
        </w:rPr>
      </w:pPr>
      <w:r w:rsidRPr="00E35F91">
        <w:rPr>
          <w:rFonts w:ascii="Segoe UI" w:hAnsi="Segoe UI" w:cs="Segoe UI"/>
          <w:color w:val="auto"/>
          <w:sz w:val="20"/>
        </w:rPr>
        <w:t>DSA submits a more effective and proportionate response to the issue of unsolicited selling practices is in the form of either:</w:t>
      </w:r>
    </w:p>
    <w:p w:rsidR="005B3465" w:rsidRPr="00E35F91" w:rsidRDefault="005B3465" w:rsidP="00DC6360">
      <w:pPr>
        <w:pStyle w:val="NoSpacing"/>
        <w:numPr>
          <w:ilvl w:val="0"/>
          <w:numId w:val="28"/>
        </w:numPr>
        <w:jc w:val="both"/>
        <w:rPr>
          <w:rFonts w:ascii="Segoe UI" w:hAnsi="Segoe UI" w:cs="Segoe UI"/>
          <w:color w:val="auto"/>
          <w:sz w:val="20"/>
        </w:rPr>
      </w:pPr>
      <w:r w:rsidRPr="00E35F91">
        <w:rPr>
          <w:rFonts w:ascii="Segoe UI" w:hAnsi="Segoe UI" w:cs="Segoe UI"/>
          <w:color w:val="auto"/>
          <w:sz w:val="20"/>
        </w:rPr>
        <w:t xml:space="preserve">A </w:t>
      </w:r>
      <w:r w:rsidR="00B55EF2" w:rsidRPr="00E35F91">
        <w:rPr>
          <w:rFonts w:ascii="Segoe UI" w:hAnsi="Segoe UI" w:cs="Segoe UI"/>
          <w:color w:val="auto"/>
          <w:sz w:val="20"/>
        </w:rPr>
        <w:t>principle-based</w:t>
      </w:r>
      <w:r w:rsidRPr="00E35F91">
        <w:rPr>
          <w:rFonts w:ascii="Segoe UI" w:hAnsi="Segoe UI" w:cs="Segoe UI"/>
          <w:color w:val="auto"/>
          <w:sz w:val="20"/>
        </w:rPr>
        <w:t xml:space="preserve"> approach; or</w:t>
      </w:r>
    </w:p>
    <w:p w:rsidR="005B3465" w:rsidRPr="00E35F91" w:rsidRDefault="005B3465" w:rsidP="00DC6360">
      <w:pPr>
        <w:pStyle w:val="NoSpacing"/>
        <w:numPr>
          <w:ilvl w:val="0"/>
          <w:numId w:val="28"/>
        </w:numPr>
        <w:jc w:val="both"/>
        <w:rPr>
          <w:rFonts w:ascii="Segoe UI" w:hAnsi="Segoe UI" w:cs="Segoe UI"/>
          <w:color w:val="auto"/>
          <w:sz w:val="20"/>
        </w:rPr>
      </w:pPr>
      <w:r w:rsidRPr="00E35F91">
        <w:rPr>
          <w:rFonts w:ascii="Segoe UI" w:hAnsi="Segoe UI" w:cs="Segoe UI"/>
          <w:color w:val="auto"/>
          <w:sz w:val="20"/>
        </w:rPr>
        <w:t>A model resembling New Zealand’s regulatory approach to unsolicited selling practices.</w:t>
      </w:r>
    </w:p>
    <w:p w:rsidR="00E83AF2" w:rsidRPr="00E35F91" w:rsidRDefault="00E83AF2" w:rsidP="00DC6360">
      <w:pPr>
        <w:pStyle w:val="NoSpacing"/>
        <w:jc w:val="both"/>
        <w:rPr>
          <w:rFonts w:ascii="Segoe UI" w:hAnsi="Segoe UI" w:cs="Segoe UI"/>
          <w:sz w:val="21"/>
          <w:szCs w:val="21"/>
        </w:rPr>
      </w:pPr>
    </w:p>
    <w:p w:rsidR="00AC66C9" w:rsidRPr="00E35F91" w:rsidRDefault="00370CF9" w:rsidP="00DC6360">
      <w:pPr>
        <w:tabs>
          <w:tab w:val="left" w:pos="540"/>
        </w:tabs>
        <w:spacing w:before="0" w:after="160" w:line="259" w:lineRule="auto"/>
        <w:jc w:val="both"/>
        <w:rPr>
          <w:rFonts w:ascii="Segoe UI" w:hAnsi="Segoe UI" w:cs="Segoe UI"/>
          <w:i/>
          <w:color w:val="002060"/>
        </w:rPr>
      </w:pPr>
      <w:r w:rsidRPr="00E35F91">
        <w:rPr>
          <w:rFonts w:ascii="Segoe UI" w:hAnsi="Segoe UI" w:cs="Segoe UI"/>
          <w:i/>
          <w:color w:val="002060"/>
        </w:rPr>
        <w:t xml:space="preserve">50.   </w:t>
      </w:r>
      <w:r w:rsidR="00AC66C9" w:rsidRPr="00E35F91">
        <w:rPr>
          <w:rFonts w:ascii="Segoe UI" w:hAnsi="Segoe UI" w:cs="Segoe UI"/>
          <w:i/>
          <w:color w:val="002060"/>
        </w:rPr>
        <w:t>Should the cooling-off period be replaced with an opt</w:t>
      </w:r>
      <w:r w:rsidR="00AC66C9" w:rsidRPr="00E35F91">
        <w:rPr>
          <w:rFonts w:ascii="Segoe UI" w:hAnsi="Segoe UI" w:cs="Segoe UI"/>
          <w:i/>
          <w:color w:val="002060"/>
        </w:rPr>
        <w:noBreakHyphen/>
        <w:t xml:space="preserve">in mechanism? </w:t>
      </w:r>
    </w:p>
    <w:p w:rsidR="00A215EB" w:rsidRPr="00E35F91" w:rsidRDefault="00A215EB"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 xml:space="preserve">This “opt-in” proposal which DSA </w:t>
      </w:r>
      <w:r w:rsidR="009F40CF" w:rsidRPr="00E35F91">
        <w:rPr>
          <w:rFonts w:ascii="Segoe UI" w:hAnsi="Segoe UI" w:cs="Segoe UI"/>
          <w:color w:val="auto"/>
          <w:sz w:val="20"/>
        </w:rPr>
        <w:t xml:space="preserve">believes </w:t>
      </w:r>
      <w:r w:rsidRPr="00E35F91">
        <w:rPr>
          <w:rFonts w:ascii="Segoe UI" w:hAnsi="Segoe UI" w:cs="Segoe UI"/>
          <w:color w:val="auto"/>
          <w:sz w:val="20"/>
        </w:rPr>
        <w:t>has no international precedent is not supported by any evidence of consumer detriment relative to</w:t>
      </w:r>
      <w:r w:rsidR="007E2EA1" w:rsidRPr="00E35F91">
        <w:rPr>
          <w:rFonts w:ascii="Segoe UI" w:hAnsi="Segoe UI" w:cs="Segoe UI"/>
          <w:color w:val="auto"/>
          <w:sz w:val="20"/>
        </w:rPr>
        <w:t xml:space="preserve"> overall</w:t>
      </w:r>
      <w:r w:rsidRPr="00E35F91">
        <w:rPr>
          <w:rFonts w:ascii="Segoe UI" w:hAnsi="Segoe UI" w:cs="Segoe UI"/>
          <w:color w:val="auto"/>
          <w:sz w:val="20"/>
        </w:rPr>
        <w:t xml:space="preserve"> industry performance</w:t>
      </w:r>
      <w:r w:rsidR="007E2EA1" w:rsidRPr="00E35F91">
        <w:rPr>
          <w:rFonts w:ascii="Segoe UI" w:hAnsi="Segoe UI" w:cs="Segoe UI"/>
          <w:color w:val="auto"/>
          <w:sz w:val="20"/>
        </w:rPr>
        <w:t>.</w:t>
      </w:r>
      <w:r w:rsidRPr="00E35F91">
        <w:rPr>
          <w:rFonts w:ascii="Segoe UI" w:hAnsi="Segoe UI" w:cs="Segoe UI"/>
          <w:color w:val="auto"/>
          <w:sz w:val="20"/>
        </w:rPr>
        <w:t xml:space="preserve">   DSA </w:t>
      </w:r>
      <w:r w:rsidR="009F40CF" w:rsidRPr="00E35F91">
        <w:rPr>
          <w:rFonts w:ascii="Segoe UI" w:hAnsi="Segoe UI" w:cs="Segoe UI"/>
          <w:color w:val="auto"/>
          <w:sz w:val="20"/>
        </w:rPr>
        <w:t>sees</w:t>
      </w:r>
      <w:r w:rsidR="00C5198F" w:rsidRPr="00E35F91">
        <w:rPr>
          <w:rFonts w:ascii="Segoe UI" w:hAnsi="Segoe UI" w:cs="Segoe UI"/>
          <w:color w:val="auto"/>
          <w:sz w:val="20"/>
        </w:rPr>
        <w:t xml:space="preserve"> this as </w:t>
      </w:r>
      <w:r w:rsidR="00C8250D" w:rsidRPr="00E35F91">
        <w:rPr>
          <w:rFonts w:ascii="Segoe UI" w:hAnsi="Segoe UI" w:cs="Segoe UI"/>
          <w:color w:val="auto"/>
          <w:sz w:val="20"/>
        </w:rPr>
        <w:t xml:space="preserve">an </w:t>
      </w:r>
      <w:r w:rsidR="009F40CF" w:rsidRPr="00E35F91">
        <w:rPr>
          <w:rFonts w:ascii="Segoe UI" w:hAnsi="Segoe UI" w:cs="Segoe UI"/>
          <w:color w:val="auto"/>
          <w:sz w:val="20"/>
        </w:rPr>
        <w:t xml:space="preserve">unsupported </w:t>
      </w:r>
      <w:r w:rsidR="00C5198F" w:rsidRPr="00E35F91">
        <w:rPr>
          <w:rFonts w:ascii="Segoe UI" w:hAnsi="Segoe UI" w:cs="Segoe UI"/>
          <w:color w:val="auto"/>
          <w:sz w:val="20"/>
        </w:rPr>
        <w:t xml:space="preserve">consumer policy </w:t>
      </w:r>
      <w:r w:rsidRPr="00E35F91">
        <w:rPr>
          <w:rFonts w:ascii="Segoe UI" w:hAnsi="Segoe UI" w:cs="Segoe UI"/>
          <w:color w:val="auto"/>
          <w:sz w:val="20"/>
        </w:rPr>
        <w:t>progression from traditional cooling off rights</w:t>
      </w:r>
      <w:r w:rsidR="00C5198F" w:rsidRPr="00E35F91">
        <w:rPr>
          <w:rFonts w:ascii="Segoe UI" w:hAnsi="Segoe UI" w:cs="Segoe UI"/>
          <w:color w:val="auto"/>
          <w:sz w:val="20"/>
        </w:rPr>
        <w:t xml:space="preserve">, to restrictions on payment </w:t>
      </w:r>
      <w:r w:rsidR="00C5198F" w:rsidRPr="00E35F91">
        <w:rPr>
          <w:rFonts w:ascii="Segoe UI" w:hAnsi="Segoe UI" w:cs="Segoe UI"/>
          <w:color w:val="auto"/>
          <w:sz w:val="20"/>
        </w:rPr>
        <w:lastRenderedPageBreak/>
        <w:t>and supply during cooling off periods, and in the absence of industry</w:t>
      </w:r>
      <w:r w:rsidR="00C8250D" w:rsidRPr="00E35F91">
        <w:rPr>
          <w:rFonts w:ascii="Segoe UI" w:hAnsi="Segoe UI" w:cs="Segoe UI"/>
          <w:color w:val="auto"/>
          <w:sz w:val="20"/>
        </w:rPr>
        <w:t xml:space="preserve"> bans, the imposition of an opt-in </w:t>
      </w:r>
      <w:r w:rsidR="00C5198F" w:rsidRPr="00E35F91">
        <w:rPr>
          <w:rFonts w:ascii="Segoe UI" w:hAnsi="Segoe UI" w:cs="Segoe UI"/>
          <w:color w:val="auto"/>
          <w:sz w:val="20"/>
        </w:rPr>
        <w:t xml:space="preserve">requirement.   The </w:t>
      </w:r>
      <w:r w:rsidR="009F40CF" w:rsidRPr="00E35F91">
        <w:rPr>
          <w:rFonts w:ascii="Segoe UI" w:hAnsi="Segoe UI" w:cs="Segoe UI"/>
          <w:color w:val="auto"/>
          <w:sz w:val="20"/>
        </w:rPr>
        <w:t xml:space="preserve">Interim </w:t>
      </w:r>
      <w:r w:rsidR="00C5198F" w:rsidRPr="00E35F91">
        <w:rPr>
          <w:rFonts w:ascii="Segoe UI" w:hAnsi="Segoe UI" w:cs="Segoe UI"/>
          <w:color w:val="auto"/>
          <w:sz w:val="20"/>
        </w:rPr>
        <w:t xml:space="preserve">Report </w:t>
      </w:r>
      <w:r w:rsidR="009F40CF" w:rsidRPr="00E35F91">
        <w:rPr>
          <w:rFonts w:ascii="Segoe UI" w:hAnsi="Segoe UI" w:cs="Segoe UI"/>
          <w:color w:val="auto"/>
          <w:sz w:val="20"/>
        </w:rPr>
        <w:t xml:space="preserve">correctly </w:t>
      </w:r>
      <w:r w:rsidR="00C5198F" w:rsidRPr="00E35F91">
        <w:rPr>
          <w:rFonts w:ascii="Segoe UI" w:hAnsi="Segoe UI" w:cs="Segoe UI"/>
          <w:color w:val="auto"/>
          <w:sz w:val="20"/>
        </w:rPr>
        <w:t>signals its potential detriment for business and consumers.   DSA strongly opposes the “opt-in” concept for the reasons outlined in its respon</w:t>
      </w:r>
      <w:r w:rsidR="00C8250D" w:rsidRPr="00E35F91">
        <w:rPr>
          <w:rFonts w:ascii="Segoe UI" w:hAnsi="Segoe UI" w:cs="Segoe UI"/>
          <w:color w:val="auto"/>
          <w:sz w:val="20"/>
        </w:rPr>
        <w:t>se to the Issues Paper and considers it inappropriate to link</w:t>
      </w:r>
      <w:r w:rsidR="00C5198F" w:rsidRPr="00E35F91">
        <w:rPr>
          <w:rFonts w:ascii="Segoe UI" w:hAnsi="Segoe UI" w:cs="Segoe UI"/>
          <w:color w:val="auto"/>
          <w:sz w:val="20"/>
        </w:rPr>
        <w:t xml:space="preserve"> it to </w:t>
      </w:r>
      <w:r w:rsidR="002B3AA0" w:rsidRPr="00E35F91">
        <w:rPr>
          <w:rFonts w:ascii="Segoe UI" w:hAnsi="Segoe UI" w:cs="Segoe UI"/>
          <w:color w:val="auto"/>
          <w:sz w:val="20"/>
        </w:rPr>
        <w:t xml:space="preserve">consideration of </w:t>
      </w:r>
      <w:r w:rsidR="009A59F0" w:rsidRPr="00E35F91">
        <w:rPr>
          <w:rFonts w:ascii="Segoe UI" w:hAnsi="Segoe UI" w:cs="Segoe UI"/>
          <w:color w:val="auto"/>
          <w:sz w:val="20"/>
        </w:rPr>
        <w:t>any Section</w:t>
      </w:r>
      <w:r w:rsidR="00C5198F" w:rsidRPr="00E35F91">
        <w:rPr>
          <w:rFonts w:ascii="Segoe UI" w:hAnsi="Segoe UI" w:cs="Segoe UI"/>
          <w:color w:val="auto"/>
          <w:sz w:val="20"/>
        </w:rPr>
        <w:t xml:space="preserve"> 86 payment concession.</w:t>
      </w:r>
      <w:r w:rsidR="007E2EA1" w:rsidRPr="00E35F91">
        <w:rPr>
          <w:rFonts w:ascii="Segoe UI" w:hAnsi="Segoe UI" w:cs="Segoe UI"/>
          <w:color w:val="auto"/>
          <w:sz w:val="20"/>
        </w:rPr>
        <w:t xml:space="preserve">   </w:t>
      </w:r>
      <w:r w:rsidR="00A054E2" w:rsidRPr="00E35F91">
        <w:rPr>
          <w:rFonts w:ascii="Segoe UI" w:hAnsi="Segoe UI" w:cs="Segoe UI"/>
          <w:color w:val="auto"/>
          <w:sz w:val="20"/>
        </w:rPr>
        <w:t>These policy proposals must be considered on their individual merit.</w:t>
      </w:r>
      <w:r w:rsidR="00C5198F" w:rsidRPr="00E35F91">
        <w:rPr>
          <w:rFonts w:ascii="Segoe UI" w:hAnsi="Segoe UI" w:cs="Segoe UI"/>
          <w:color w:val="auto"/>
          <w:sz w:val="20"/>
        </w:rPr>
        <w:t xml:space="preserve">  </w:t>
      </w:r>
    </w:p>
    <w:p w:rsidR="00370CF9" w:rsidRPr="00E35F91" w:rsidRDefault="00370CF9" w:rsidP="00DC6360">
      <w:pPr>
        <w:pStyle w:val="TableTextLeft-NumberingAppB"/>
        <w:numPr>
          <w:ilvl w:val="0"/>
          <w:numId w:val="0"/>
        </w:numPr>
        <w:tabs>
          <w:tab w:val="clear" w:pos="340"/>
          <w:tab w:val="left" w:pos="450"/>
        </w:tabs>
        <w:ind w:left="360" w:hanging="360"/>
        <w:jc w:val="both"/>
        <w:rPr>
          <w:rFonts w:ascii="Segoe UI" w:hAnsi="Segoe UI" w:cs="Segoe UI"/>
          <w:i/>
          <w:color w:val="002060"/>
        </w:rPr>
      </w:pPr>
      <w:r w:rsidRPr="00E35F91">
        <w:rPr>
          <w:rFonts w:ascii="Segoe UI" w:hAnsi="Segoe UI" w:cs="Segoe UI"/>
          <w:i/>
          <w:color w:val="002060"/>
        </w:rPr>
        <w:t>52.  Should an enhanced ‘risk</w:t>
      </w:r>
      <w:r w:rsidRPr="00E35F91">
        <w:rPr>
          <w:rFonts w:ascii="Segoe UI" w:hAnsi="Segoe UI" w:cs="Segoe UI"/>
          <w:i/>
          <w:color w:val="002060"/>
        </w:rPr>
        <w:noBreakHyphen/>
        <w:t>based’ approach to unsolicited consumer agreement protections be adopted? If so:</w:t>
      </w:r>
    </w:p>
    <w:p w:rsidR="00370CF9" w:rsidRPr="00E35F91" w:rsidRDefault="00370CF9" w:rsidP="00DC6360">
      <w:pPr>
        <w:pStyle w:val="TableTextLeft-NumberingAppB"/>
        <w:numPr>
          <w:ilvl w:val="0"/>
          <w:numId w:val="17"/>
        </w:numPr>
        <w:tabs>
          <w:tab w:val="clear" w:pos="340"/>
          <w:tab w:val="left" w:pos="450"/>
        </w:tabs>
        <w:jc w:val="both"/>
        <w:rPr>
          <w:rFonts w:ascii="Segoe UI" w:hAnsi="Segoe UI" w:cs="Segoe UI"/>
          <w:i/>
          <w:color w:val="002060"/>
        </w:rPr>
      </w:pPr>
      <w:r w:rsidRPr="00E35F91">
        <w:rPr>
          <w:rFonts w:ascii="Segoe UI" w:hAnsi="Segoe UI" w:cs="Segoe UI"/>
          <w:i/>
          <w:color w:val="002060"/>
        </w:rPr>
        <w:t>How should it be designed? For example, what would differentiate low</w:t>
      </w:r>
      <w:r w:rsidRPr="00E35F91">
        <w:rPr>
          <w:rFonts w:ascii="Segoe UI" w:hAnsi="Segoe UI" w:cs="Segoe UI"/>
          <w:i/>
          <w:color w:val="002060"/>
        </w:rPr>
        <w:noBreakHyphen/>
        <w:t>risk from high</w:t>
      </w:r>
      <w:r w:rsidRPr="00E35F91">
        <w:rPr>
          <w:rFonts w:ascii="Segoe UI" w:hAnsi="Segoe UI" w:cs="Segoe UI"/>
          <w:i/>
          <w:color w:val="002060"/>
        </w:rPr>
        <w:noBreakHyphen/>
        <w:t>risk sales? What different set of rights and protections would apply?</w:t>
      </w:r>
    </w:p>
    <w:p w:rsidR="00370CF9" w:rsidRPr="00E35F91" w:rsidRDefault="00370CF9" w:rsidP="00DC6360">
      <w:pPr>
        <w:pStyle w:val="TableTextLeft-NumberingAppB"/>
        <w:numPr>
          <w:ilvl w:val="0"/>
          <w:numId w:val="17"/>
        </w:numPr>
        <w:tabs>
          <w:tab w:val="clear" w:pos="340"/>
          <w:tab w:val="left" w:pos="450"/>
        </w:tabs>
        <w:jc w:val="both"/>
        <w:rPr>
          <w:rFonts w:ascii="Segoe UI" w:hAnsi="Segoe UI" w:cs="Segoe UI"/>
          <w:i/>
          <w:color w:val="002060"/>
        </w:rPr>
      </w:pPr>
      <w:r w:rsidRPr="00E35F91">
        <w:rPr>
          <w:rFonts w:ascii="Segoe UI" w:hAnsi="Segoe UI" w:cs="Segoe UI"/>
          <w:i/>
          <w:color w:val="002060"/>
        </w:rPr>
        <w:t>What impacts would this have on sales across all sectors that engage in unsolicited selling, as distinct from direct selling?</w:t>
      </w:r>
    </w:p>
    <w:p w:rsidR="00370CF9" w:rsidRPr="00E35F91" w:rsidRDefault="00370CF9" w:rsidP="00DC6360">
      <w:pPr>
        <w:pStyle w:val="TableTextLeft-NumberingAppB"/>
        <w:numPr>
          <w:ilvl w:val="0"/>
          <w:numId w:val="17"/>
        </w:numPr>
        <w:tabs>
          <w:tab w:val="clear" w:pos="340"/>
          <w:tab w:val="left" w:pos="450"/>
        </w:tabs>
        <w:jc w:val="both"/>
        <w:rPr>
          <w:rFonts w:ascii="Segoe UI" w:hAnsi="Segoe UI" w:cs="Segoe UI"/>
          <w:i/>
          <w:color w:val="002060"/>
        </w:rPr>
      </w:pPr>
      <w:r w:rsidRPr="00E35F91">
        <w:rPr>
          <w:rFonts w:ascii="Segoe UI" w:hAnsi="Segoe UI" w:cs="Segoe UI"/>
          <w:i/>
          <w:color w:val="002060"/>
        </w:rPr>
        <w:t>How would this affect outcomes for consumers?</w:t>
      </w:r>
    </w:p>
    <w:p w:rsidR="00370CF9" w:rsidRPr="00E35F91" w:rsidRDefault="00370CF9"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No, this would introduce further unnecessary complexity into what is already a complex regime.</w:t>
      </w:r>
      <w:r w:rsidR="00DC1544" w:rsidRPr="00E35F91">
        <w:rPr>
          <w:rFonts w:ascii="Segoe UI" w:hAnsi="Segoe UI" w:cs="Segoe UI"/>
          <w:color w:val="auto"/>
          <w:sz w:val="20"/>
        </w:rPr>
        <w:t xml:space="preserve">   </w:t>
      </w:r>
      <w:r w:rsidRPr="00E35F91">
        <w:rPr>
          <w:rFonts w:ascii="Segoe UI" w:hAnsi="Segoe UI" w:cs="Segoe UI"/>
          <w:color w:val="auto"/>
          <w:sz w:val="20"/>
        </w:rPr>
        <w:t>The meaning of “business premises” would not require further clarity if unsolicited selling regulation was limited to selling in someone’s home or workplace without invitation</w:t>
      </w:r>
      <w:r w:rsidR="002F5272" w:rsidRPr="00E35F91">
        <w:rPr>
          <w:rFonts w:ascii="Segoe UI" w:hAnsi="Segoe UI" w:cs="Segoe UI"/>
          <w:color w:val="auto"/>
          <w:sz w:val="20"/>
        </w:rPr>
        <w:t>.</w:t>
      </w:r>
      <w:r w:rsidR="007A39BC" w:rsidRPr="00E35F91">
        <w:rPr>
          <w:rStyle w:val="FootnoteReference"/>
          <w:rFonts w:ascii="Segoe UI" w:hAnsi="Segoe UI" w:cs="Segoe UI"/>
          <w:color w:val="auto"/>
          <w:sz w:val="20"/>
        </w:rPr>
        <w:footnoteReference w:id="10"/>
      </w:r>
    </w:p>
    <w:p w:rsidR="00370CF9" w:rsidRPr="00E35F91" w:rsidRDefault="00370CF9"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Any requirement to record telephone sales to counter the proposed presumption that the consumer’s version of what was said over the telephone will stand would make telephone sales unnecessarily burdensome and unworkable for direct salespeople operating under independent contractor models.</w:t>
      </w:r>
    </w:p>
    <w:p w:rsidR="00970298" w:rsidRPr="00E35F91" w:rsidRDefault="00970298" w:rsidP="00DC6360">
      <w:pPr>
        <w:pStyle w:val="ListParagraph"/>
        <w:numPr>
          <w:ilvl w:val="1"/>
          <w:numId w:val="18"/>
        </w:numPr>
        <w:tabs>
          <w:tab w:val="left" w:pos="540"/>
        </w:tabs>
        <w:spacing w:before="0" w:after="160" w:line="259" w:lineRule="auto"/>
        <w:jc w:val="both"/>
        <w:rPr>
          <w:rFonts w:ascii="Segoe UI" w:hAnsi="Segoe UI" w:cs="Segoe UI"/>
          <w:b/>
          <w:color w:val="auto"/>
          <w:sz w:val="20"/>
        </w:rPr>
      </w:pPr>
      <w:r w:rsidRPr="00E35F91">
        <w:rPr>
          <w:rFonts w:ascii="Segoe UI" w:hAnsi="Segoe UI" w:cs="Segoe UI"/>
          <w:b/>
          <w:color w:val="auto"/>
          <w:sz w:val="20"/>
        </w:rPr>
        <w:t>Implementing the Australian Consumer Law and its objectives</w:t>
      </w:r>
    </w:p>
    <w:p w:rsidR="00370CF9" w:rsidRPr="00E35F91" w:rsidRDefault="00370CF9" w:rsidP="00DC6360">
      <w:pPr>
        <w:tabs>
          <w:tab w:val="left" w:pos="720"/>
        </w:tabs>
        <w:spacing w:before="0" w:after="160" w:line="259" w:lineRule="auto"/>
        <w:jc w:val="both"/>
        <w:rPr>
          <w:rFonts w:ascii="Segoe UI" w:hAnsi="Segoe UI" w:cs="Segoe UI"/>
          <w:b/>
          <w:color w:val="auto"/>
          <w:sz w:val="20"/>
        </w:rPr>
      </w:pPr>
      <w:r w:rsidRPr="00E35F91">
        <w:rPr>
          <w:rFonts w:ascii="Segoe UI" w:hAnsi="Segoe UI" w:cs="Segoe UI"/>
          <w:b/>
          <w:color w:val="auto"/>
          <w:sz w:val="20"/>
        </w:rPr>
        <w:t>3.1.3 Barriers to accessing information</w:t>
      </w:r>
    </w:p>
    <w:p w:rsidR="00370CF9" w:rsidRPr="00E35F91" w:rsidRDefault="00370CF9" w:rsidP="00DC6360">
      <w:pPr>
        <w:pStyle w:val="TableTextLeft-NumberingAppB"/>
        <w:numPr>
          <w:ilvl w:val="0"/>
          <w:numId w:val="0"/>
        </w:numPr>
        <w:tabs>
          <w:tab w:val="clear" w:pos="340"/>
          <w:tab w:val="left" w:pos="450"/>
        </w:tabs>
        <w:ind w:left="360" w:hanging="360"/>
        <w:jc w:val="both"/>
        <w:rPr>
          <w:rFonts w:ascii="Segoe UI" w:hAnsi="Segoe UI" w:cs="Segoe UI"/>
          <w:i/>
          <w:color w:val="002060"/>
        </w:rPr>
      </w:pPr>
      <w:r w:rsidRPr="00E35F91">
        <w:rPr>
          <w:rFonts w:ascii="Segoe UI" w:hAnsi="Segoe UI" w:cs="Segoe UI"/>
          <w:i/>
          <w:color w:val="002060"/>
        </w:rPr>
        <w:t>54.  What enhancements to existing communication channels would be most useful, and what is the level of consumer need? In a context of finite resources, what should be prioritised?</w:t>
      </w:r>
    </w:p>
    <w:p w:rsidR="00370CF9" w:rsidRPr="00E35F91" w:rsidRDefault="00370CF9"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Why look at this question only from the perspective of consumer need?</w:t>
      </w:r>
      <w:r w:rsidR="00E4759F" w:rsidRPr="00E35F91">
        <w:rPr>
          <w:rFonts w:ascii="Segoe UI" w:hAnsi="Segoe UI" w:cs="Segoe UI"/>
          <w:color w:val="auto"/>
          <w:sz w:val="20"/>
        </w:rPr>
        <w:t xml:space="preserve">   The perspective of businesses operating in consumer markets should also be considered.</w:t>
      </w:r>
    </w:p>
    <w:p w:rsidR="00370CF9" w:rsidRPr="00E35F91" w:rsidRDefault="00370CF9" w:rsidP="00DC6360">
      <w:pPr>
        <w:pStyle w:val="TableTextLeft-NumberingAppB"/>
        <w:numPr>
          <w:ilvl w:val="0"/>
          <w:numId w:val="0"/>
        </w:numPr>
        <w:tabs>
          <w:tab w:val="clear" w:pos="340"/>
          <w:tab w:val="left" w:pos="450"/>
        </w:tabs>
        <w:ind w:left="360" w:hanging="360"/>
        <w:jc w:val="both"/>
        <w:rPr>
          <w:rFonts w:ascii="Segoe UI" w:hAnsi="Segoe UI" w:cs="Segoe UI"/>
          <w:i/>
          <w:color w:val="002060"/>
        </w:rPr>
      </w:pPr>
      <w:r w:rsidRPr="00E35F91">
        <w:rPr>
          <w:rFonts w:ascii="Segoe UI" w:hAnsi="Segoe UI" w:cs="Segoe UI"/>
          <w:i/>
          <w:color w:val="002060"/>
        </w:rPr>
        <w:t>55.  To what extent would a standalone version of the ACL be used by consumers and businesses? How should it be formatted, and what additional information (if any) should it contain?</w:t>
      </w:r>
    </w:p>
    <w:p w:rsidR="00370CF9" w:rsidRPr="00E35F91" w:rsidRDefault="00370CF9"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A standalone version of the ACL would be useful.  It should not include additional information.</w:t>
      </w:r>
    </w:p>
    <w:p w:rsidR="00970298" w:rsidRPr="00E35F91" w:rsidRDefault="00970298" w:rsidP="00DC6360">
      <w:pPr>
        <w:tabs>
          <w:tab w:val="left" w:pos="720"/>
        </w:tabs>
        <w:spacing w:before="0" w:after="160" w:line="259" w:lineRule="auto"/>
        <w:jc w:val="both"/>
        <w:rPr>
          <w:rFonts w:ascii="Segoe UI" w:hAnsi="Segoe UI" w:cs="Segoe UI"/>
          <w:b/>
          <w:color w:val="auto"/>
          <w:sz w:val="20"/>
        </w:rPr>
      </w:pPr>
      <w:r w:rsidRPr="00E35F91">
        <w:rPr>
          <w:rFonts w:ascii="Segoe UI" w:hAnsi="Segoe UI" w:cs="Segoe UI"/>
          <w:b/>
          <w:color w:val="auto"/>
          <w:sz w:val="20"/>
        </w:rPr>
        <w:t>3.1.4  Access to remedies</w:t>
      </w:r>
    </w:p>
    <w:p w:rsidR="00970298" w:rsidRPr="00E35F91" w:rsidRDefault="00970298" w:rsidP="00DC6360">
      <w:pPr>
        <w:pStyle w:val="TableTextLeft-NumberingAppB"/>
        <w:numPr>
          <w:ilvl w:val="0"/>
          <w:numId w:val="0"/>
        </w:numPr>
        <w:tabs>
          <w:tab w:val="clear" w:pos="340"/>
          <w:tab w:val="left" w:pos="450"/>
        </w:tabs>
        <w:ind w:left="360" w:hanging="360"/>
        <w:jc w:val="both"/>
        <w:rPr>
          <w:rFonts w:ascii="Segoe UI" w:hAnsi="Segoe UI" w:cs="Segoe UI"/>
          <w:i/>
          <w:color w:val="002060"/>
        </w:rPr>
      </w:pPr>
      <w:r w:rsidRPr="00E35F91">
        <w:rPr>
          <w:rFonts w:ascii="Segoe UI" w:hAnsi="Segoe UI" w:cs="Segoe UI"/>
          <w:i/>
          <w:color w:val="002060"/>
        </w:rPr>
        <w:t>57.  What are your views on an expanded ‘follow</w:t>
      </w:r>
      <w:r w:rsidRPr="00E35F91">
        <w:rPr>
          <w:rFonts w:ascii="Segoe UI" w:hAnsi="Segoe UI" w:cs="Segoe UI"/>
          <w:i/>
          <w:color w:val="002060"/>
        </w:rPr>
        <w:noBreakHyphen/>
        <w:t>on’ provision, and the extent to which it would assist private litigants?</w:t>
      </w:r>
    </w:p>
    <w:p w:rsidR="00970298" w:rsidRPr="00E35F91" w:rsidRDefault="00970298"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This may assist private litigants, but with a disproportionate impact to business.  Individual cases should be considered on their merits. There is already adequate provision for class action proceedings to be initiated by private litigants, and enforcement proceedings to be initiated by the regulator.</w:t>
      </w:r>
    </w:p>
    <w:p w:rsidR="00970298" w:rsidRPr="00E35F91" w:rsidRDefault="00970298" w:rsidP="00DC6360">
      <w:pPr>
        <w:pStyle w:val="TableTextLeft-NumberingAppB"/>
        <w:numPr>
          <w:ilvl w:val="0"/>
          <w:numId w:val="0"/>
        </w:numPr>
        <w:tabs>
          <w:tab w:val="clear" w:pos="340"/>
          <w:tab w:val="left" w:pos="450"/>
        </w:tabs>
        <w:ind w:left="360" w:hanging="360"/>
        <w:jc w:val="both"/>
        <w:rPr>
          <w:rFonts w:ascii="Segoe UI" w:hAnsi="Segoe UI" w:cs="Segoe UI"/>
          <w:i/>
          <w:color w:val="002060"/>
        </w:rPr>
      </w:pPr>
      <w:r w:rsidRPr="00E35F91">
        <w:rPr>
          <w:rFonts w:ascii="Segoe UI" w:hAnsi="Segoe UI" w:cs="Segoe UI"/>
          <w:i/>
          <w:color w:val="002060"/>
        </w:rPr>
        <w:t>58. What, if any, unintended consequences, risks and challenges should be considered? For example, would this option affect the extent to which businesses are prepared to make admissions of fact?</w:t>
      </w:r>
    </w:p>
    <w:p w:rsidR="00970298" w:rsidRPr="00E35F91" w:rsidRDefault="00970298"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lastRenderedPageBreak/>
        <w:t>Yes, this option could potentially affect the extent to which businesses are prepared to make admissions of fact in one case for fear of having that admission extended to other cases.</w:t>
      </w:r>
    </w:p>
    <w:p w:rsidR="00970298" w:rsidRPr="00E35F91" w:rsidRDefault="00970298" w:rsidP="00DC6360">
      <w:pPr>
        <w:keepNext/>
        <w:jc w:val="both"/>
        <w:rPr>
          <w:rFonts w:ascii="Segoe UI" w:hAnsi="Segoe UI" w:cs="Segoe UI"/>
          <w:b/>
          <w:color w:val="auto"/>
          <w:sz w:val="20"/>
        </w:rPr>
      </w:pPr>
      <w:r w:rsidRPr="00E35F91">
        <w:rPr>
          <w:rFonts w:ascii="Segoe UI" w:hAnsi="Segoe UI" w:cs="Segoe UI"/>
          <w:b/>
          <w:color w:val="auto"/>
          <w:sz w:val="20"/>
        </w:rPr>
        <w:t>3.2</w:t>
      </w:r>
      <w:r w:rsidRPr="00E35F91">
        <w:rPr>
          <w:rFonts w:ascii="Segoe UI" w:hAnsi="Segoe UI" w:cs="Segoe UI"/>
          <w:b/>
          <w:color w:val="auto"/>
          <w:sz w:val="20"/>
        </w:rPr>
        <w:tab/>
        <w:t>Penalties and remedies</w:t>
      </w:r>
    </w:p>
    <w:p w:rsidR="00970298" w:rsidRPr="00E35F91" w:rsidRDefault="00970298" w:rsidP="00DC6360">
      <w:pPr>
        <w:tabs>
          <w:tab w:val="left" w:pos="720"/>
        </w:tabs>
        <w:spacing w:before="0" w:after="160" w:line="259" w:lineRule="auto"/>
        <w:jc w:val="both"/>
        <w:rPr>
          <w:rFonts w:ascii="Segoe UI" w:hAnsi="Segoe UI" w:cs="Segoe UI"/>
          <w:b/>
          <w:color w:val="auto"/>
          <w:sz w:val="20"/>
        </w:rPr>
      </w:pPr>
      <w:r w:rsidRPr="00E35F91">
        <w:rPr>
          <w:rFonts w:ascii="Segoe UI" w:hAnsi="Segoe UI" w:cs="Segoe UI"/>
          <w:b/>
          <w:color w:val="auto"/>
          <w:sz w:val="20"/>
        </w:rPr>
        <w:t>3.2.3   Maximum financial penalties</w:t>
      </w:r>
    </w:p>
    <w:p w:rsidR="00970298" w:rsidRPr="00E35F91" w:rsidRDefault="00970298" w:rsidP="00DC6360">
      <w:pPr>
        <w:pStyle w:val="TableTextLeft-NumberingAppB"/>
        <w:numPr>
          <w:ilvl w:val="0"/>
          <w:numId w:val="0"/>
        </w:numPr>
        <w:tabs>
          <w:tab w:val="clear" w:pos="340"/>
          <w:tab w:val="left" w:pos="450"/>
        </w:tabs>
        <w:ind w:left="360" w:hanging="360"/>
        <w:jc w:val="both"/>
        <w:rPr>
          <w:rFonts w:ascii="Segoe UI" w:hAnsi="Segoe UI" w:cs="Segoe UI"/>
          <w:i/>
          <w:color w:val="002060"/>
        </w:rPr>
      </w:pPr>
      <w:r w:rsidRPr="00E35F91">
        <w:rPr>
          <w:rFonts w:ascii="Segoe UI" w:hAnsi="Segoe UI" w:cs="Segoe UI"/>
          <w:i/>
          <w:color w:val="002060"/>
        </w:rPr>
        <w:t>63.  Are the current maximum financial penalties adequate to deter future breaches of the ACL? Would an increase be an appropriate response to the issues raised?</w:t>
      </w:r>
    </w:p>
    <w:p w:rsidR="00970298" w:rsidRPr="00E35F91" w:rsidRDefault="00970298" w:rsidP="00DC6360">
      <w:pPr>
        <w:tabs>
          <w:tab w:val="left" w:pos="540"/>
        </w:tabs>
        <w:spacing w:before="0" w:after="160" w:line="259" w:lineRule="auto"/>
        <w:jc w:val="both"/>
        <w:rPr>
          <w:rFonts w:ascii="Segoe UI" w:hAnsi="Segoe UI" w:cs="Segoe UI"/>
          <w:color w:val="auto"/>
          <w:sz w:val="20"/>
        </w:rPr>
      </w:pPr>
      <w:r w:rsidRPr="00E35F91">
        <w:rPr>
          <w:rFonts w:ascii="Segoe UI" w:hAnsi="Segoe UI" w:cs="Segoe UI"/>
          <w:color w:val="auto"/>
          <w:sz w:val="20"/>
        </w:rPr>
        <w:t>The current maximum financial penalties are adequate.</w:t>
      </w:r>
    </w:p>
    <w:p w:rsidR="006759AB" w:rsidRPr="00E35F91" w:rsidRDefault="006759AB" w:rsidP="00DC6360">
      <w:pPr>
        <w:keepNext/>
        <w:jc w:val="both"/>
        <w:rPr>
          <w:rFonts w:ascii="Segoe UI" w:hAnsi="Segoe UI" w:cs="Segoe UI"/>
          <w:b/>
          <w:color w:val="auto"/>
          <w:sz w:val="20"/>
        </w:rPr>
      </w:pPr>
      <w:r w:rsidRPr="00E35F91">
        <w:rPr>
          <w:rFonts w:ascii="Segoe UI" w:hAnsi="Segoe UI" w:cs="Segoe UI"/>
          <w:b/>
          <w:color w:val="auto"/>
          <w:sz w:val="20"/>
        </w:rPr>
        <w:t>4.1</w:t>
      </w:r>
      <w:r w:rsidRPr="00E35F91">
        <w:rPr>
          <w:rFonts w:ascii="Segoe UI" w:hAnsi="Segoe UI" w:cs="Segoe UI"/>
          <w:b/>
          <w:color w:val="auto"/>
          <w:sz w:val="20"/>
        </w:rPr>
        <w:tab/>
        <w:t>Purchasing online</w:t>
      </w:r>
    </w:p>
    <w:p w:rsidR="006759AB" w:rsidRPr="00E35F91" w:rsidRDefault="006759AB" w:rsidP="00DC6360">
      <w:pPr>
        <w:keepNext/>
        <w:jc w:val="both"/>
        <w:rPr>
          <w:rFonts w:ascii="Segoe UI" w:hAnsi="Segoe UI" w:cs="Segoe UI"/>
          <w:b/>
          <w:color w:val="auto"/>
          <w:sz w:val="20"/>
        </w:rPr>
      </w:pPr>
      <w:r w:rsidRPr="00E35F91">
        <w:rPr>
          <w:rFonts w:ascii="Segoe UI" w:hAnsi="Segoe UI" w:cs="Segoe UI"/>
          <w:b/>
          <w:color w:val="auto"/>
          <w:sz w:val="20"/>
        </w:rPr>
        <w:t>4.1.5</w:t>
      </w:r>
      <w:r w:rsidRPr="00E35F91">
        <w:rPr>
          <w:rFonts w:ascii="Segoe UI" w:hAnsi="Segoe UI" w:cs="Segoe UI"/>
          <w:b/>
          <w:color w:val="auto"/>
          <w:sz w:val="20"/>
        </w:rPr>
        <w:tab/>
        <w:t>Pricing and safety information</w:t>
      </w:r>
    </w:p>
    <w:p w:rsidR="006759AB" w:rsidRPr="00E35F91" w:rsidRDefault="006759AB" w:rsidP="00DC6360">
      <w:pPr>
        <w:pStyle w:val="TableTextLeft-NumberingAppB"/>
        <w:numPr>
          <w:ilvl w:val="0"/>
          <w:numId w:val="0"/>
        </w:numPr>
        <w:tabs>
          <w:tab w:val="clear" w:pos="340"/>
          <w:tab w:val="left" w:pos="450"/>
        </w:tabs>
        <w:ind w:left="360" w:hanging="360"/>
        <w:jc w:val="both"/>
        <w:rPr>
          <w:rFonts w:ascii="Segoe UI" w:hAnsi="Segoe UI" w:cs="Segoe UI"/>
          <w:i/>
          <w:color w:val="002060"/>
        </w:rPr>
      </w:pPr>
      <w:r w:rsidRPr="00E35F91">
        <w:rPr>
          <w:rFonts w:ascii="Segoe UI" w:hAnsi="Segoe UI" w:cs="Segoe UI"/>
          <w:i/>
          <w:color w:val="002060"/>
        </w:rPr>
        <w:t>68.   Are current measures sufficient to ensure price transparency in online shopping?</w:t>
      </w:r>
    </w:p>
    <w:p w:rsidR="006759AB" w:rsidRPr="00E35F91" w:rsidRDefault="00363770" w:rsidP="00DC6360">
      <w:pPr>
        <w:pStyle w:val="NoSpacing"/>
        <w:jc w:val="both"/>
        <w:rPr>
          <w:rFonts w:ascii="Segoe UI" w:hAnsi="Segoe UI" w:cs="Segoe UI"/>
          <w:color w:val="auto"/>
          <w:sz w:val="20"/>
        </w:rPr>
      </w:pPr>
      <w:r w:rsidRPr="00E35F91">
        <w:rPr>
          <w:rFonts w:ascii="Segoe UI" w:hAnsi="Segoe UI" w:cs="Segoe UI"/>
          <w:color w:val="auto"/>
          <w:sz w:val="20"/>
        </w:rPr>
        <w:t>The</w:t>
      </w:r>
      <w:r w:rsidR="006759AB" w:rsidRPr="00E35F91">
        <w:rPr>
          <w:rFonts w:ascii="Segoe UI" w:hAnsi="Segoe UI" w:cs="Segoe UI"/>
          <w:color w:val="auto"/>
          <w:sz w:val="20"/>
        </w:rPr>
        <w:t xml:space="preserve"> current law is sufficient and should remain technology neutral so as to apply in a range of contexts.  </w:t>
      </w:r>
    </w:p>
    <w:p w:rsidR="00BD61DE" w:rsidRPr="00E35F91" w:rsidRDefault="00BD61DE" w:rsidP="00DC6360">
      <w:pPr>
        <w:pStyle w:val="NoSpacing"/>
        <w:jc w:val="both"/>
        <w:rPr>
          <w:rFonts w:ascii="Segoe UI" w:hAnsi="Segoe UI" w:cs="Segoe UI"/>
          <w:color w:val="auto"/>
          <w:sz w:val="20"/>
        </w:rPr>
      </w:pPr>
    </w:p>
    <w:p w:rsidR="00E91C7B" w:rsidRPr="00E35F91" w:rsidRDefault="006162BC" w:rsidP="00DC6360">
      <w:pPr>
        <w:pStyle w:val="NoSpacing"/>
        <w:jc w:val="both"/>
        <w:rPr>
          <w:rFonts w:ascii="Segoe UI" w:hAnsi="Segoe UI" w:cs="Segoe UI"/>
          <w:b/>
        </w:rPr>
      </w:pPr>
      <w:r w:rsidRPr="00E35F91">
        <w:rPr>
          <w:rFonts w:ascii="Segoe UI" w:hAnsi="Segoe UI" w:cs="Segoe UI"/>
          <w:b/>
        </w:rPr>
        <w:t>OTHER ISSUES</w:t>
      </w:r>
    </w:p>
    <w:p w:rsidR="00BD61DE" w:rsidRPr="00E35F91" w:rsidRDefault="00BD61DE" w:rsidP="00DC6360">
      <w:pPr>
        <w:pStyle w:val="NoSpacing"/>
        <w:jc w:val="both"/>
        <w:rPr>
          <w:rFonts w:ascii="Segoe UI" w:hAnsi="Segoe UI" w:cs="Segoe UI"/>
          <w:color w:val="auto"/>
          <w:sz w:val="20"/>
        </w:rPr>
      </w:pPr>
    </w:p>
    <w:p w:rsidR="006162BC" w:rsidRPr="00E35F91" w:rsidRDefault="006162BC" w:rsidP="00DC6360">
      <w:pPr>
        <w:pStyle w:val="NoSpacing"/>
        <w:jc w:val="both"/>
        <w:rPr>
          <w:rFonts w:ascii="Segoe UI" w:hAnsi="Segoe UI" w:cs="Segoe UI"/>
          <w:color w:val="auto"/>
          <w:sz w:val="20"/>
        </w:rPr>
      </w:pPr>
      <w:r w:rsidRPr="00E35F91">
        <w:rPr>
          <w:rFonts w:ascii="Segoe UI" w:hAnsi="Segoe UI" w:cs="Segoe UI"/>
          <w:color w:val="auto"/>
          <w:sz w:val="20"/>
        </w:rPr>
        <w:t>The Interim Report identifie</w:t>
      </w:r>
      <w:r w:rsidR="00DA6C2C" w:rsidRPr="00E35F91">
        <w:rPr>
          <w:rFonts w:ascii="Segoe UI" w:hAnsi="Segoe UI" w:cs="Segoe UI"/>
          <w:color w:val="auto"/>
          <w:sz w:val="20"/>
        </w:rPr>
        <w:t>s</w:t>
      </w:r>
      <w:r w:rsidRPr="00E35F91">
        <w:rPr>
          <w:rFonts w:ascii="Segoe UI" w:hAnsi="Segoe UI" w:cs="Segoe UI"/>
          <w:color w:val="auto"/>
          <w:sz w:val="20"/>
        </w:rPr>
        <w:t xml:space="preserve"> ‘pyramid selling’ for further </w:t>
      </w:r>
      <w:r w:rsidR="00DA6C2C" w:rsidRPr="00E35F91">
        <w:rPr>
          <w:rFonts w:ascii="Segoe UI" w:hAnsi="Segoe UI" w:cs="Segoe UI"/>
          <w:color w:val="auto"/>
          <w:sz w:val="20"/>
        </w:rPr>
        <w:t>consultation.  At issue is whether</w:t>
      </w:r>
      <w:r w:rsidRPr="00E35F91">
        <w:rPr>
          <w:rFonts w:ascii="Segoe UI" w:hAnsi="Segoe UI" w:cs="Segoe UI"/>
          <w:color w:val="auto"/>
          <w:sz w:val="20"/>
        </w:rPr>
        <w:t xml:space="preserve"> the</w:t>
      </w:r>
      <w:r w:rsidR="00DA6C2C" w:rsidRPr="00E35F91">
        <w:rPr>
          <w:rFonts w:ascii="Segoe UI" w:hAnsi="Segoe UI" w:cs="Segoe UI"/>
          <w:color w:val="auto"/>
          <w:sz w:val="20"/>
        </w:rPr>
        <w:t xml:space="preserve"> ACL’s</w:t>
      </w:r>
      <w:r w:rsidRPr="00E35F91">
        <w:rPr>
          <w:rFonts w:ascii="Segoe UI" w:hAnsi="Segoe UI" w:cs="Segoe UI"/>
          <w:color w:val="auto"/>
          <w:sz w:val="20"/>
        </w:rPr>
        <w:t xml:space="preserve"> definition of ‘pyramid scheme’ could be broadened to include multi-level marketing schemes where a successful return is unrealistic.   </w:t>
      </w:r>
      <w:r w:rsidR="006F48DD" w:rsidRPr="00E35F91">
        <w:rPr>
          <w:rFonts w:ascii="Segoe UI" w:hAnsi="Segoe UI" w:cs="Segoe UI"/>
          <w:color w:val="auto"/>
          <w:sz w:val="20"/>
        </w:rPr>
        <w:t>It is</w:t>
      </w:r>
      <w:r w:rsidRPr="00E35F91">
        <w:rPr>
          <w:rFonts w:ascii="Segoe UI" w:hAnsi="Segoe UI" w:cs="Segoe UI"/>
          <w:color w:val="auto"/>
          <w:sz w:val="20"/>
        </w:rPr>
        <w:t xml:space="preserve"> argued this would ensure the current definition captures multi-level marketing schemes </w:t>
      </w:r>
      <w:r w:rsidR="00DA6C2C" w:rsidRPr="00E35F91">
        <w:rPr>
          <w:rFonts w:ascii="Segoe UI" w:hAnsi="Segoe UI" w:cs="Segoe UI"/>
          <w:color w:val="auto"/>
          <w:sz w:val="20"/>
        </w:rPr>
        <w:t>that</w:t>
      </w:r>
      <w:r w:rsidRPr="00E35F91">
        <w:rPr>
          <w:rFonts w:ascii="Segoe UI" w:hAnsi="Segoe UI" w:cs="Segoe UI"/>
          <w:color w:val="auto"/>
          <w:sz w:val="20"/>
        </w:rPr>
        <w:t xml:space="preserve"> are arguably similar to pyramid selling but involve other benefits and transactions.</w:t>
      </w:r>
    </w:p>
    <w:p w:rsidR="006162BC" w:rsidRPr="00E35F91" w:rsidRDefault="006162BC" w:rsidP="00DC6360">
      <w:pPr>
        <w:pStyle w:val="NoSpacing"/>
        <w:jc w:val="both"/>
        <w:rPr>
          <w:rFonts w:ascii="Segoe UI" w:hAnsi="Segoe UI" w:cs="Segoe UI"/>
          <w:color w:val="auto"/>
          <w:sz w:val="20"/>
        </w:rPr>
      </w:pPr>
    </w:p>
    <w:p w:rsidR="006162BC" w:rsidRPr="00E35F91" w:rsidRDefault="006F48DD" w:rsidP="00DC6360">
      <w:pPr>
        <w:pStyle w:val="NoSpacing"/>
        <w:jc w:val="both"/>
        <w:rPr>
          <w:rFonts w:ascii="Segoe UI" w:hAnsi="Segoe UI" w:cs="Segoe UI"/>
          <w:color w:val="auto"/>
          <w:sz w:val="20"/>
        </w:rPr>
      </w:pPr>
      <w:r w:rsidRPr="00E35F91">
        <w:rPr>
          <w:rFonts w:ascii="Segoe UI" w:hAnsi="Segoe UI" w:cs="Segoe UI"/>
          <w:color w:val="auto"/>
          <w:sz w:val="20"/>
        </w:rPr>
        <w:t>It is claimed</w:t>
      </w:r>
      <w:r w:rsidR="006162BC" w:rsidRPr="00E35F91">
        <w:rPr>
          <w:rFonts w:ascii="Segoe UI" w:hAnsi="Segoe UI" w:cs="Segoe UI"/>
          <w:color w:val="auto"/>
          <w:sz w:val="20"/>
        </w:rPr>
        <w:t xml:space="preserve"> pyramid selling is defined too narrowly and</w:t>
      </w:r>
      <w:r w:rsidR="00B812A7" w:rsidRPr="00E35F91">
        <w:rPr>
          <w:rFonts w:ascii="Segoe UI" w:hAnsi="Segoe UI" w:cs="Segoe UI"/>
          <w:color w:val="auto"/>
          <w:sz w:val="20"/>
        </w:rPr>
        <w:t xml:space="preserve"> there </w:t>
      </w:r>
      <w:r w:rsidR="00DA6C2C" w:rsidRPr="00E35F91">
        <w:rPr>
          <w:rFonts w:ascii="Segoe UI" w:hAnsi="Segoe UI" w:cs="Segoe UI"/>
          <w:color w:val="auto"/>
          <w:sz w:val="20"/>
        </w:rPr>
        <w:t>should</w:t>
      </w:r>
      <w:r w:rsidR="00B812A7" w:rsidRPr="00E35F91">
        <w:rPr>
          <w:rFonts w:ascii="Segoe UI" w:hAnsi="Segoe UI" w:cs="Segoe UI"/>
          <w:color w:val="auto"/>
          <w:sz w:val="20"/>
        </w:rPr>
        <w:t xml:space="preserve"> be flexibility to extend the definition </w:t>
      </w:r>
      <w:r w:rsidR="006162BC" w:rsidRPr="00E35F91">
        <w:rPr>
          <w:rFonts w:ascii="Segoe UI" w:hAnsi="Segoe UI" w:cs="Segoe UI"/>
          <w:color w:val="auto"/>
          <w:sz w:val="20"/>
        </w:rPr>
        <w:t xml:space="preserve">to schemes where </w:t>
      </w:r>
      <w:r w:rsidR="00F26420" w:rsidRPr="00E35F91">
        <w:rPr>
          <w:rFonts w:ascii="Segoe UI" w:hAnsi="Segoe UI" w:cs="Segoe UI"/>
          <w:color w:val="auto"/>
          <w:sz w:val="20"/>
        </w:rPr>
        <w:t xml:space="preserve">at least some of the </w:t>
      </w:r>
      <w:r w:rsidR="006162BC" w:rsidRPr="00E35F91">
        <w:rPr>
          <w:rFonts w:ascii="Segoe UI" w:hAnsi="Segoe UI" w:cs="Segoe UI"/>
          <w:color w:val="auto"/>
          <w:sz w:val="20"/>
        </w:rPr>
        <w:t>reward is derived from a “genuine underlying transaction</w:t>
      </w:r>
      <w:r w:rsidR="006162BC" w:rsidRPr="00E35F91">
        <w:rPr>
          <w:rStyle w:val="FootnoteReference"/>
          <w:rFonts w:ascii="Segoe UI" w:hAnsi="Segoe UI" w:cs="Segoe UI"/>
        </w:rPr>
        <w:t>”.</w:t>
      </w:r>
      <w:r w:rsidR="00F26420" w:rsidRPr="00E35F91">
        <w:rPr>
          <w:rStyle w:val="FootnoteReference"/>
          <w:rFonts w:ascii="Segoe UI" w:hAnsi="Segoe UI" w:cs="Segoe UI"/>
        </w:rPr>
        <w:footnoteReference w:id="11"/>
      </w:r>
      <w:r w:rsidR="006162BC" w:rsidRPr="00E35F91">
        <w:rPr>
          <w:rFonts w:ascii="Segoe UI" w:hAnsi="Segoe UI" w:cs="Segoe UI"/>
          <w:color w:val="auto"/>
          <w:sz w:val="20"/>
        </w:rPr>
        <w:t xml:space="preserve">   </w:t>
      </w:r>
      <w:r w:rsidR="00F26420" w:rsidRPr="00E35F91">
        <w:rPr>
          <w:rFonts w:ascii="Segoe UI" w:hAnsi="Segoe UI" w:cs="Segoe UI"/>
          <w:color w:val="auto"/>
          <w:sz w:val="20"/>
        </w:rPr>
        <w:t>Support for this</w:t>
      </w:r>
      <w:r w:rsidR="006162BC" w:rsidRPr="00E35F91">
        <w:rPr>
          <w:rFonts w:ascii="Segoe UI" w:hAnsi="Segoe UI" w:cs="Segoe UI"/>
          <w:color w:val="auto"/>
          <w:sz w:val="20"/>
        </w:rPr>
        <w:t xml:space="preserve"> policy </w:t>
      </w:r>
      <w:r w:rsidRPr="00E35F91">
        <w:rPr>
          <w:rFonts w:ascii="Segoe UI" w:hAnsi="Segoe UI" w:cs="Segoe UI"/>
          <w:color w:val="auto"/>
          <w:sz w:val="20"/>
        </w:rPr>
        <w:t>shift</w:t>
      </w:r>
      <w:r w:rsidR="006162BC" w:rsidRPr="00E35F91">
        <w:rPr>
          <w:rFonts w:ascii="Segoe UI" w:hAnsi="Segoe UI" w:cs="Segoe UI"/>
          <w:color w:val="auto"/>
          <w:sz w:val="20"/>
        </w:rPr>
        <w:t xml:space="preserve"> is claimed </w:t>
      </w:r>
      <w:r w:rsidRPr="00E35F91">
        <w:rPr>
          <w:rFonts w:ascii="Segoe UI" w:hAnsi="Segoe UI" w:cs="Segoe UI"/>
          <w:color w:val="auto"/>
          <w:sz w:val="20"/>
        </w:rPr>
        <w:t>from</w:t>
      </w:r>
      <w:r w:rsidR="006162BC" w:rsidRPr="00E35F91">
        <w:rPr>
          <w:rFonts w:ascii="Segoe UI" w:hAnsi="Segoe UI" w:cs="Segoe UI"/>
          <w:color w:val="auto"/>
          <w:sz w:val="20"/>
        </w:rPr>
        <w:t xml:space="preserve"> two case studies and generalisation that multi-level marketing schemes commonly operate through psychological manipulations to take advantage of vulnerable people through passive income and self-employment claims.   It </w:t>
      </w:r>
      <w:r w:rsidRPr="00E35F91">
        <w:rPr>
          <w:rFonts w:ascii="Segoe UI" w:hAnsi="Segoe UI" w:cs="Segoe UI"/>
          <w:color w:val="auto"/>
          <w:sz w:val="20"/>
        </w:rPr>
        <w:t>is claimed</w:t>
      </w:r>
      <w:r w:rsidR="00F26420" w:rsidRPr="00E35F91">
        <w:rPr>
          <w:rFonts w:ascii="Segoe UI" w:hAnsi="Segoe UI" w:cs="Segoe UI"/>
          <w:color w:val="auto"/>
          <w:sz w:val="20"/>
        </w:rPr>
        <w:t xml:space="preserve"> there</w:t>
      </w:r>
      <w:r w:rsidR="006162BC" w:rsidRPr="00E35F91">
        <w:rPr>
          <w:rFonts w:ascii="Segoe UI" w:hAnsi="Segoe UI" w:cs="Segoe UI"/>
          <w:color w:val="auto"/>
          <w:sz w:val="20"/>
        </w:rPr>
        <w:t xml:space="preserve"> is a strong case for including as illegal pyramid schemes, those that don’t provide a realistic chance for a successful return.</w:t>
      </w:r>
    </w:p>
    <w:p w:rsidR="006162BC" w:rsidRPr="00E35F91" w:rsidRDefault="006162BC" w:rsidP="00DC6360">
      <w:pPr>
        <w:pStyle w:val="NoSpacing"/>
        <w:jc w:val="both"/>
        <w:rPr>
          <w:rFonts w:ascii="Segoe UI" w:hAnsi="Segoe UI" w:cs="Segoe UI"/>
          <w:color w:val="auto"/>
          <w:sz w:val="20"/>
        </w:rPr>
      </w:pPr>
    </w:p>
    <w:p w:rsidR="006162BC" w:rsidRPr="00E35F91" w:rsidRDefault="006162BC" w:rsidP="00DC6360">
      <w:pPr>
        <w:pStyle w:val="NoSpacing"/>
        <w:jc w:val="both"/>
        <w:rPr>
          <w:rFonts w:ascii="Segoe UI" w:hAnsi="Segoe UI" w:cs="Segoe UI"/>
          <w:color w:val="auto"/>
          <w:sz w:val="20"/>
        </w:rPr>
      </w:pPr>
      <w:r w:rsidRPr="00E35F91">
        <w:rPr>
          <w:rFonts w:ascii="Segoe UI" w:hAnsi="Segoe UI" w:cs="Segoe UI"/>
          <w:color w:val="auto"/>
          <w:sz w:val="20"/>
        </w:rPr>
        <w:t xml:space="preserve">Multi-level marketing is a legitimate and integral aspect of the direct selling retail channel.   There is ample evidence </w:t>
      </w:r>
      <w:r w:rsidR="00F26420" w:rsidRPr="00E35F91">
        <w:rPr>
          <w:rFonts w:ascii="Segoe UI" w:hAnsi="Segoe UI" w:cs="Segoe UI"/>
          <w:color w:val="auto"/>
          <w:sz w:val="20"/>
        </w:rPr>
        <w:t>of</w:t>
      </w:r>
      <w:r w:rsidRPr="00E35F91">
        <w:rPr>
          <w:rFonts w:ascii="Segoe UI" w:hAnsi="Segoe UI" w:cs="Segoe UI"/>
          <w:color w:val="auto"/>
          <w:sz w:val="20"/>
        </w:rPr>
        <w:t xml:space="preserve"> its individual and broader </w:t>
      </w:r>
      <w:r w:rsidR="00F26420" w:rsidRPr="00E35F91">
        <w:rPr>
          <w:rFonts w:ascii="Segoe UI" w:hAnsi="Segoe UI" w:cs="Segoe UI"/>
          <w:color w:val="auto"/>
          <w:sz w:val="20"/>
        </w:rPr>
        <w:t xml:space="preserve">economic and </w:t>
      </w:r>
      <w:r w:rsidRPr="00E35F91">
        <w:rPr>
          <w:rFonts w:ascii="Segoe UI" w:hAnsi="Segoe UI" w:cs="Segoe UI"/>
          <w:color w:val="auto"/>
          <w:sz w:val="20"/>
        </w:rPr>
        <w:t>societal contributions</w:t>
      </w:r>
      <w:r w:rsidRPr="00E35F91">
        <w:rPr>
          <w:rStyle w:val="FootnoteReference"/>
          <w:rFonts w:ascii="Segoe UI" w:hAnsi="Segoe UI" w:cs="Segoe UI"/>
        </w:rPr>
        <w:t>.</w:t>
      </w:r>
      <w:r w:rsidR="00F26420" w:rsidRPr="00E35F91">
        <w:rPr>
          <w:rStyle w:val="FootnoteReference"/>
          <w:rFonts w:ascii="Segoe UI" w:hAnsi="Segoe UI" w:cs="Segoe UI"/>
        </w:rPr>
        <w:footnoteReference w:id="12"/>
      </w:r>
      <w:r w:rsidRPr="00E35F91">
        <w:rPr>
          <w:rFonts w:ascii="Segoe UI" w:hAnsi="Segoe UI" w:cs="Segoe UI"/>
          <w:color w:val="auto"/>
          <w:sz w:val="20"/>
        </w:rPr>
        <w:t xml:space="preserve">   The current law adequately covers t</w:t>
      </w:r>
      <w:r w:rsidR="005278F0" w:rsidRPr="00E35F91">
        <w:rPr>
          <w:rFonts w:ascii="Segoe UI" w:hAnsi="Segoe UI" w:cs="Segoe UI"/>
          <w:color w:val="auto"/>
          <w:sz w:val="20"/>
        </w:rPr>
        <w:t>h</w:t>
      </w:r>
      <w:r w:rsidRPr="00E35F91">
        <w:rPr>
          <w:rFonts w:ascii="Segoe UI" w:hAnsi="Segoe UI" w:cs="Segoe UI"/>
          <w:color w:val="auto"/>
          <w:sz w:val="20"/>
        </w:rPr>
        <w:t xml:space="preserve">e commonly understood elements of “pyramid” schemes and suggested broadening of its definition in the ACL to include </w:t>
      </w:r>
      <w:r w:rsidR="00C31980" w:rsidRPr="00E35F91">
        <w:rPr>
          <w:rFonts w:ascii="Segoe UI" w:hAnsi="Segoe UI" w:cs="Segoe UI"/>
          <w:color w:val="auto"/>
          <w:sz w:val="20"/>
        </w:rPr>
        <w:t xml:space="preserve">what seem to be subjectively derived </w:t>
      </w:r>
      <w:r w:rsidRPr="00E35F91">
        <w:rPr>
          <w:rFonts w:ascii="Segoe UI" w:hAnsi="Segoe UI" w:cs="Segoe UI"/>
          <w:color w:val="auto"/>
          <w:sz w:val="20"/>
        </w:rPr>
        <w:t>earnings claims will threaten legitimate models</w:t>
      </w:r>
      <w:r w:rsidR="00C31980" w:rsidRPr="00E35F91">
        <w:rPr>
          <w:rFonts w:ascii="Segoe UI" w:hAnsi="Segoe UI" w:cs="Segoe UI"/>
          <w:color w:val="auto"/>
          <w:sz w:val="20"/>
        </w:rPr>
        <w:t xml:space="preserve"> for consumer purchases</w:t>
      </w:r>
      <w:r w:rsidRPr="00E35F91">
        <w:rPr>
          <w:rFonts w:ascii="Segoe UI" w:hAnsi="Segoe UI" w:cs="Segoe UI"/>
          <w:color w:val="auto"/>
          <w:sz w:val="20"/>
        </w:rPr>
        <w:t>.</w:t>
      </w:r>
    </w:p>
    <w:p w:rsidR="006162BC" w:rsidRPr="00E35F91" w:rsidRDefault="006162BC" w:rsidP="00DC6360">
      <w:pPr>
        <w:pStyle w:val="NoSpacing"/>
        <w:jc w:val="both"/>
        <w:rPr>
          <w:rFonts w:ascii="Segoe UI" w:hAnsi="Segoe UI" w:cs="Segoe UI"/>
          <w:color w:val="auto"/>
          <w:sz w:val="20"/>
        </w:rPr>
      </w:pPr>
    </w:p>
    <w:p w:rsidR="006162BC" w:rsidRPr="00E35F91" w:rsidRDefault="006162BC" w:rsidP="00DC6360">
      <w:pPr>
        <w:pStyle w:val="NoSpacing"/>
        <w:jc w:val="both"/>
        <w:rPr>
          <w:rFonts w:ascii="Segoe UI" w:hAnsi="Segoe UI" w:cs="Segoe UI"/>
          <w:color w:val="auto"/>
          <w:sz w:val="20"/>
        </w:rPr>
      </w:pPr>
      <w:r w:rsidRPr="00E35F91">
        <w:rPr>
          <w:rFonts w:ascii="Segoe UI" w:hAnsi="Segoe UI" w:cs="Segoe UI"/>
          <w:color w:val="auto"/>
          <w:sz w:val="20"/>
        </w:rPr>
        <w:t>DSA opposes any extension of the commonly understood meaning of pyramid selling that could potentially affect network marketing</w:t>
      </w:r>
      <w:r w:rsidR="008A68E7" w:rsidRPr="00E35F91">
        <w:rPr>
          <w:rFonts w:ascii="Segoe UI" w:hAnsi="Segoe UI" w:cs="Segoe UI"/>
          <w:color w:val="auto"/>
          <w:sz w:val="20"/>
        </w:rPr>
        <w:t xml:space="preserve"> or other legitimate business</w:t>
      </w:r>
      <w:r w:rsidRPr="00E35F91">
        <w:rPr>
          <w:rFonts w:ascii="Segoe UI" w:hAnsi="Segoe UI" w:cs="Segoe UI"/>
          <w:color w:val="auto"/>
          <w:sz w:val="20"/>
        </w:rPr>
        <w:t xml:space="preserve"> models.   Pyramid selling has a well-established and understood meaning in the ACL being judicially interpreted to reach schemes where rewards are from recruiting new participants, not the genuine economic activity in distributing goods and services.   This economic activity in wholesaling and retailing competitive products underpins the legitimacy of network marketing models.</w:t>
      </w:r>
    </w:p>
    <w:p w:rsidR="006162BC" w:rsidRPr="00E35F91" w:rsidRDefault="006162BC" w:rsidP="00DC6360">
      <w:pPr>
        <w:pStyle w:val="NoSpacing"/>
        <w:jc w:val="both"/>
        <w:rPr>
          <w:rFonts w:ascii="Segoe UI" w:hAnsi="Segoe UI" w:cs="Segoe UI"/>
          <w:color w:val="auto"/>
          <w:sz w:val="20"/>
        </w:rPr>
      </w:pPr>
    </w:p>
    <w:p w:rsidR="006162BC" w:rsidRPr="00E35F91" w:rsidRDefault="006162BC" w:rsidP="00DC6360">
      <w:pPr>
        <w:pStyle w:val="NoSpacing"/>
        <w:jc w:val="both"/>
        <w:rPr>
          <w:rFonts w:ascii="Segoe UI" w:hAnsi="Segoe UI" w:cs="Segoe UI"/>
          <w:color w:val="auto"/>
          <w:sz w:val="20"/>
        </w:rPr>
      </w:pPr>
      <w:r w:rsidRPr="00E35F91">
        <w:rPr>
          <w:rFonts w:ascii="Segoe UI" w:hAnsi="Segoe UI" w:cs="Segoe UI"/>
          <w:color w:val="auto"/>
          <w:sz w:val="20"/>
        </w:rPr>
        <w:t xml:space="preserve">DSA acknowledges </w:t>
      </w:r>
      <w:r w:rsidR="005278F0" w:rsidRPr="00E35F91">
        <w:rPr>
          <w:rFonts w:ascii="Segoe UI" w:hAnsi="Segoe UI" w:cs="Segoe UI"/>
          <w:color w:val="auto"/>
          <w:sz w:val="20"/>
        </w:rPr>
        <w:t xml:space="preserve">the </w:t>
      </w:r>
      <w:r w:rsidRPr="00E35F91">
        <w:rPr>
          <w:rFonts w:ascii="Segoe UI" w:hAnsi="Segoe UI" w:cs="Segoe UI"/>
          <w:color w:val="auto"/>
          <w:sz w:val="20"/>
        </w:rPr>
        <w:t xml:space="preserve">potential for people to be induced to join network marketing </w:t>
      </w:r>
      <w:r w:rsidR="008A68E7" w:rsidRPr="00E35F91">
        <w:rPr>
          <w:rFonts w:ascii="Segoe UI" w:hAnsi="Segoe UI" w:cs="Segoe UI"/>
          <w:color w:val="auto"/>
          <w:sz w:val="20"/>
        </w:rPr>
        <w:t xml:space="preserve">or other </w:t>
      </w:r>
      <w:r w:rsidRPr="00E35F91">
        <w:rPr>
          <w:rFonts w:ascii="Segoe UI" w:hAnsi="Segoe UI" w:cs="Segoe UI"/>
          <w:color w:val="auto"/>
          <w:sz w:val="20"/>
        </w:rPr>
        <w:t xml:space="preserve">companies with exaggerated earnings claims.   But people join direct selling companies (using multi-level reward structures) for different reasons.   Rankings in a recent and independent survey show only just over half were motivated by potential income, and income expectations across </w:t>
      </w:r>
      <w:r w:rsidR="005278F0" w:rsidRPr="00E35F91">
        <w:rPr>
          <w:rFonts w:ascii="Segoe UI" w:hAnsi="Segoe UI" w:cs="Segoe UI"/>
          <w:color w:val="auto"/>
          <w:sz w:val="20"/>
        </w:rPr>
        <w:t xml:space="preserve">product orientation and business </w:t>
      </w:r>
      <w:r w:rsidRPr="00E35F91">
        <w:rPr>
          <w:rFonts w:ascii="Segoe UI" w:hAnsi="Segoe UI" w:cs="Segoe UI"/>
          <w:color w:val="auto"/>
          <w:sz w:val="20"/>
        </w:rPr>
        <w:t xml:space="preserve">models vary considerably.   There was no </w:t>
      </w:r>
      <w:r w:rsidR="00171BD7" w:rsidRPr="00E35F91">
        <w:rPr>
          <w:rFonts w:ascii="Segoe UI" w:hAnsi="Segoe UI" w:cs="Segoe UI"/>
          <w:color w:val="auto"/>
          <w:sz w:val="20"/>
        </w:rPr>
        <w:t>evidence</w:t>
      </w:r>
      <w:r w:rsidRPr="00E35F91">
        <w:rPr>
          <w:rFonts w:ascii="Segoe UI" w:hAnsi="Segoe UI" w:cs="Segoe UI"/>
          <w:color w:val="auto"/>
          <w:sz w:val="20"/>
        </w:rPr>
        <w:t xml:space="preserve"> of expectation being fuelled by passive income claims.   Relevantly </w:t>
      </w:r>
      <w:r w:rsidR="005278F0" w:rsidRPr="00E35F91">
        <w:rPr>
          <w:rFonts w:ascii="Segoe UI" w:hAnsi="Segoe UI" w:cs="Segoe UI"/>
          <w:color w:val="auto"/>
          <w:sz w:val="20"/>
        </w:rPr>
        <w:t>about half</w:t>
      </w:r>
      <w:r w:rsidRPr="00E35F91">
        <w:rPr>
          <w:rFonts w:ascii="Segoe UI" w:hAnsi="Segoe UI" w:cs="Segoe UI"/>
          <w:color w:val="auto"/>
          <w:sz w:val="20"/>
        </w:rPr>
        <w:t xml:space="preserve"> </w:t>
      </w:r>
      <w:r w:rsidR="008A68E7" w:rsidRPr="00E35F91">
        <w:rPr>
          <w:rFonts w:ascii="Segoe UI" w:hAnsi="Segoe UI" w:cs="Segoe UI"/>
          <w:color w:val="auto"/>
          <w:sz w:val="20"/>
        </w:rPr>
        <w:t xml:space="preserve">those </w:t>
      </w:r>
      <w:r w:rsidRPr="00E35F91">
        <w:rPr>
          <w:rFonts w:ascii="Segoe UI" w:hAnsi="Segoe UI" w:cs="Segoe UI"/>
          <w:color w:val="auto"/>
          <w:sz w:val="20"/>
        </w:rPr>
        <w:t xml:space="preserve">surveyed said they joined companies to acquire products (at wholesale prices) for personal consumption.   The obvious question is what is a </w:t>
      </w:r>
      <w:r w:rsidR="008A68E7" w:rsidRPr="00E35F91">
        <w:rPr>
          <w:rFonts w:ascii="Segoe UI" w:hAnsi="Segoe UI" w:cs="Segoe UI"/>
          <w:color w:val="auto"/>
          <w:sz w:val="20"/>
        </w:rPr>
        <w:t>“</w:t>
      </w:r>
      <w:r w:rsidRPr="00E35F91">
        <w:rPr>
          <w:rFonts w:ascii="Segoe UI" w:hAnsi="Segoe UI" w:cs="Segoe UI"/>
          <w:color w:val="auto"/>
          <w:sz w:val="20"/>
        </w:rPr>
        <w:t>realistic return</w:t>
      </w:r>
      <w:r w:rsidR="008A68E7" w:rsidRPr="00E35F91">
        <w:rPr>
          <w:rFonts w:ascii="Segoe UI" w:hAnsi="Segoe UI" w:cs="Segoe UI"/>
          <w:color w:val="auto"/>
          <w:sz w:val="20"/>
        </w:rPr>
        <w:t>”</w:t>
      </w:r>
      <w:r w:rsidRPr="00E35F91">
        <w:rPr>
          <w:rFonts w:ascii="Segoe UI" w:hAnsi="Segoe UI" w:cs="Segoe UI"/>
          <w:color w:val="auto"/>
          <w:sz w:val="20"/>
        </w:rPr>
        <w:t xml:space="preserve"> in their circumstances?</w:t>
      </w:r>
      <w:r w:rsidR="00B812A7" w:rsidRPr="00E35F91">
        <w:rPr>
          <w:rFonts w:ascii="Segoe UI" w:hAnsi="Segoe UI" w:cs="Segoe UI"/>
          <w:color w:val="auto"/>
          <w:sz w:val="20"/>
        </w:rPr>
        <w:t xml:space="preserve">   This is entirely subjective and varies enormously depending on an individual’s motivation, goals and objectives</w:t>
      </w:r>
      <w:r w:rsidR="00E4759F" w:rsidRPr="00E35F91">
        <w:rPr>
          <w:rFonts w:ascii="Segoe UI" w:hAnsi="Segoe UI" w:cs="Segoe UI"/>
          <w:color w:val="auto"/>
          <w:sz w:val="20"/>
        </w:rPr>
        <w:t>, and the quality of products on offer</w:t>
      </w:r>
      <w:r w:rsidR="00B812A7" w:rsidRPr="00E35F91">
        <w:rPr>
          <w:rFonts w:ascii="Segoe UI" w:hAnsi="Segoe UI" w:cs="Segoe UI"/>
          <w:color w:val="auto"/>
          <w:sz w:val="20"/>
        </w:rPr>
        <w:t>.   Whether the returns (including but not limited to financial returns) match an individual’s expectations will again depend on factors such as commitment, confidence, support and change in personal circumstances</w:t>
      </w:r>
      <w:r w:rsidR="00E4759F" w:rsidRPr="00E35F91">
        <w:rPr>
          <w:rFonts w:ascii="Segoe UI" w:hAnsi="Segoe UI" w:cs="Segoe UI"/>
          <w:color w:val="auto"/>
          <w:sz w:val="20"/>
        </w:rPr>
        <w:t>, and the individual’s own ability</w:t>
      </w:r>
      <w:r w:rsidR="00B812A7" w:rsidRPr="00E35F91">
        <w:rPr>
          <w:rFonts w:ascii="Segoe UI" w:hAnsi="Segoe UI" w:cs="Segoe UI"/>
          <w:color w:val="auto"/>
          <w:sz w:val="20"/>
        </w:rPr>
        <w:t>.</w:t>
      </w:r>
      <w:r w:rsidRPr="00E35F91">
        <w:rPr>
          <w:rFonts w:ascii="Segoe UI" w:hAnsi="Segoe UI" w:cs="Segoe UI"/>
          <w:color w:val="auto"/>
          <w:sz w:val="20"/>
        </w:rPr>
        <w:t xml:space="preserve">   </w:t>
      </w:r>
    </w:p>
    <w:p w:rsidR="00FC2DA4" w:rsidRPr="00E35F91" w:rsidRDefault="00FC2DA4" w:rsidP="00DC6360">
      <w:pPr>
        <w:pStyle w:val="NoSpacing"/>
        <w:jc w:val="both"/>
        <w:rPr>
          <w:rFonts w:ascii="Segoe UI" w:hAnsi="Segoe UI" w:cs="Segoe UI"/>
          <w:color w:val="auto"/>
          <w:sz w:val="20"/>
        </w:rPr>
      </w:pPr>
    </w:p>
    <w:p w:rsidR="006162BC" w:rsidRPr="00E35F91" w:rsidRDefault="00C96E38" w:rsidP="00DC6360">
      <w:pPr>
        <w:pStyle w:val="NoSpacing"/>
        <w:jc w:val="both"/>
        <w:rPr>
          <w:rFonts w:ascii="Segoe UI" w:hAnsi="Segoe UI" w:cs="Segoe UI"/>
          <w:color w:val="auto"/>
          <w:sz w:val="20"/>
        </w:rPr>
      </w:pPr>
      <w:r w:rsidRPr="00E35F91">
        <w:rPr>
          <w:rFonts w:ascii="Segoe UI" w:hAnsi="Segoe UI" w:cs="Segoe UI"/>
          <w:color w:val="auto"/>
          <w:sz w:val="20"/>
        </w:rPr>
        <w:t>DSA believes the</w:t>
      </w:r>
      <w:r w:rsidR="006162BC" w:rsidRPr="00E35F91">
        <w:rPr>
          <w:rFonts w:ascii="Segoe UI" w:hAnsi="Segoe UI" w:cs="Segoe UI"/>
          <w:color w:val="auto"/>
          <w:sz w:val="20"/>
        </w:rPr>
        <w:t xml:space="preserve"> comparative law study is instructive for this issue.   Unlike </w:t>
      </w:r>
      <w:r w:rsidR="00F104E1" w:rsidRPr="00E35F91">
        <w:rPr>
          <w:rFonts w:ascii="Segoe UI" w:hAnsi="Segoe UI" w:cs="Segoe UI"/>
          <w:color w:val="auto"/>
          <w:sz w:val="20"/>
        </w:rPr>
        <w:t xml:space="preserve">some </w:t>
      </w:r>
      <w:r w:rsidR="006162BC" w:rsidRPr="00E35F91">
        <w:rPr>
          <w:rFonts w:ascii="Segoe UI" w:hAnsi="Segoe UI" w:cs="Segoe UI"/>
          <w:color w:val="auto"/>
          <w:sz w:val="20"/>
        </w:rPr>
        <w:t>other countries</w:t>
      </w:r>
      <w:r w:rsidRPr="00E35F91">
        <w:rPr>
          <w:rFonts w:ascii="Segoe UI" w:hAnsi="Segoe UI" w:cs="Segoe UI"/>
          <w:color w:val="auto"/>
          <w:sz w:val="20"/>
        </w:rPr>
        <w:t>,</w:t>
      </w:r>
      <w:r w:rsidR="006162BC" w:rsidRPr="00E35F91">
        <w:rPr>
          <w:rFonts w:ascii="Segoe UI" w:hAnsi="Segoe UI" w:cs="Segoe UI"/>
          <w:color w:val="auto"/>
          <w:sz w:val="20"/>
        </w:rPr>
        <w:t xml:space="preserve"> Australia has a mix of specific and general controls</w:t>
      </w:r>
      <w:r w:rsidR="008A68E7" w:rsidRPr="00E35F91">
        <w:rPr>
          <w:rFonts w:ascii="Segoe UI" w:hAnsi="Segoe UI" w:cs="Segoe UI"/>
          <w:color w:val="auto"/>
          <w:sz w:val="20"/>
        </w:rPr>
        <w:t xml:space="preserve"> </w:t>
      </w:r>
      <w:r w:rsidRPr="00E35F91">
        <w:rPr>
          <w:rFonts w:ascii="Segoe UI" w:hAnsi="Segoe UI" w:cs="Segoe UI"/>
          <w:color w:val="auto"/>
          <w:sz w:val="20"/>
        </w:rPr>
        <w:t>of pyramid schemes</w:t>
      </w:r>
      <w:r w:rsidR="008A68E7" w:rsidRPr="00E35F91">
        <w:rPr>
          <w:rFonts w:ascii="Segoe UI" w:hAnsi="Segoe UI" w:cs="Segoe UI"/>
          <w:color w:val="auto"/>
          <w:sz w:val="20"/>
        </w:rPr>
        <w:t>.</w:t>
      </w:r>
      <w:r w:rsidR="006162BC" w:rsidRPr="00E35F91">
        <w:rPr>
          <w:rFonts w:ascii="Segoe UI" w:hAnsi="Segoe UI" w:cs="Segoe UI"/>
          <w:color w:val="auto"/>
          <w:sz w:val="20"/>
        </w:rPr>
        <w:t xml:space="preserve">   Where specific control</w:t>
      </w:r>
      <w:r w:rsidR="00F104E1" w:rsidRPr="00E35F91">
        <w:rPr>
          <w:rFonts w:ascii="Segoe UI" w:hAnsi="Segoe UI" w:cs="Segoe UI"/>
          <w:color w:val="auto"/>
          <w:sz w:val="20"/>
        </w:rPr>
        <w:t xml:space="preserve"> </w:t>
      </w:r>
      <w:r w:rsidRPr="00E35F91">
        <w:rPr>
          <w:rFonts w:ascii="Segoe UI" w:hAnsi="Segoe UI" w:cs="Segoe UI"/>
          <w:color w:val="auto"/>
          <w:sz w:val="20"/>
        </w:rPr>
        <w:t>exists</w:t>
      </w:r>
      <w:r w:rsidR="006162BC" w:rsidRPr="00E35F91">
        <w:rPr>
          <w:rFonts w:ascii="Segoe UI" w:hAnsi="Segoe UI" w:cs="Segoe UI"/>
          <w:color w:val="auto"/>
          <w:sz w:val="20"/>
        </w:rPr>
        <w:t xml:space="preserve"> in </w:t>
      </w:r>
      <w:r w:rsidRPr="00E35F91">
        <w:rPr>
          <w:rFonts w:ascii="Segoe UI" w:hAnsi="Segoe UI" w:cs="Segoe UI"/>
          <w:color w:val="auto"/>
          <w:sz w:val="20"/>
        </w:rPr>
        <w:t>other</w:t>
      </w:r>
      <w:r w:rsidR="006162BC" w:rsidRPr="00E35F91">
        <w:rPr>
          <w:rFonts w:ascii="Segoe UI" w:hAnsi="Segoe UI" w:cs="Segoe UI"/>
          <w:color w:val="auto"/>
          <w:sz w:val="20"/>
        </w:rPr>
        <w:t xml:space="preserve"> jurisdictions it </w:t>
      </w:r>
      <w:r w:rsidRPr="00E35F91">
        <w:rPr>
          <w:rFonts w:ascii="Segoe UI" w:hAnsi="Segoe UI" w:cs="Segoe UI"/>
          <w:color w:val="auto"/>
          <w:sz w:val="20"/>
        </w:rPr>
        <w:t>generally matches</w:t>
      </w:r>
      <w:r w:rsidR="006162BC" w:rsidRPr="00E35F91">
        <w:rPr>
          <w:rFonts w:ascii="Segoe UI" w:hAnsi="Segoe UI" w:cs="Segoe UI"/>
          <w:color w:val="auto"/>
          <w:sz w:val="20"/>
        </w:rPr>
        <w:t xml:space="preserve"> key elements of Australia’s regulation.   Associated practices such as exaggerated earnings claims</w:t>
      </w:r>
      <w:r w:rsidRPr="00E35F91">
        <w:rPr>
          <w:rFonts w:ascii="Segoe UI" w:hAnsi="Segoe UI" w:cs="Segoe UI"/>
          <w:color w:val="auto"/>
          <w:sz w:val="20"/>
        </w:rPr>
        <w:t xml:space="preserve"> now sought to be relied on for altering the definition of pyramid schemes can be </w:t>
      </w:r>
      <w:r w:rsidR="00171BD7" w:rsidRPr="00E35F91">
        <w:rPr>
          <w:rFonts w:ascii="Segoe UI" w:hAnsi="Segoe UI" w:cs="Segoe UI"/>
          <w:color w:val="auto"/>
          <w:sz w:val="20"/>
        </w:rPr>
        <w:t>controlled</w:t>
      </w:r>
      <w:r w:rsidRPr="00E35F91">
        <w:rPr>
          <w:rFonts w:ascii="Segoe UI" w:hAnsi="Segoe UI" w:cs="Segoe UI"/>
          <w:color w:val="auto"/>
          <w:sz w:val="20"/>
        </w:rPr>
        <w:t xml:space="preserve"> through</w:t>
      </w:r>
      <w:r w:rsidR="006162BC" w:rsidRPr="00E35F91">
        <w:rPr>
          <w:rFonts w:ascii="Segoe UI" w:hAnsi="Segoe UI" w:cs="Segoe UI"/>
          <w:color w:val="auto"/>
          <w:sz w:val="20"/>
        </w:rPr>
        <w:t xml:space="preserve"> general ACL provisions, notably its proscription of misleading, deceptive and unconscionable conduc</w:t>
      </w:r>
      <w:r w:rsidR="00E4759F" w:rsidRPr="00E35F91">
        <w:rPr>
          <w:rFonts w:ascii="Segoe UI" w:hAnsi="Segoe UI" w:cs="Segoe UI"/>
          <w:color w:val="auto"/>
          <w:sz w:val="20"/>
        </w:rPr>
        <w:t xml:space="preserve">t, and specific prohibition </w:t>
      </w:r>
      <w:r w:rsidR="00C52FDA" w:rsidRPr="00E35F91">
        <w:rPr>
          <w:rFonts w:ascii="Segoe UI" w:hAnsi="Segoe UI" w:cs="Segoe UI"/>
          <w:color w:val="auto"/>
          <w:sz w:val="20"/>
        </w:rPr>
        <w:t>of</w:t>
      </w:r>
      <w:r w:rsidR="00E4759F" w:rsidRPr="00E35F91">
        <w:rPr>
          <w:rFonts w:ascii="Segoe UI" w:hAnsi="Segoe UI" w:cs="Segoe UI"/>
          <w:color w:val="auto"/>
          <w:sz w:val="20"/>
        </w:rPr>
        <w:t xml:space="preserve"> misleading income claims relating to “at-home” business opportunities</w:t>
      </w:r>
      <w:r w:rsidR="006162BC" w:rsidRPr="00E35F91">
        <w:rPr>
          <w:rFonts w:ascii="Segoe UI" w:hAnsi="Segoe UI" w:cs="Segoe UI"/>
          <w:color w:val="auto"/>
          <w:sz w:val="20"/>
        </w:rPr>
        <w:t xml:space="preserve">.   </w:t>
      </w:r>
    </w:p>
    <w:p w:rsidR="00FC2DA4" w:rsidRPr="00E35F91" w:rsidRDefault="00FC2DA4" w:rsidP="00FC2DA4">
      <w:pPr>
        <w:pStyle w:val="NoSpacing"/>
        <w:jc w:val="both"/>
        <w:rPr>
          <w:rFonts w:ascii="Segoe UI" w:hAnsi="Segoe UI" w:cs="Segoe UI"/>
          <w:color w:val="auto"/>
          <w:sz w:val="20"/>
        </w:rPr>
      </w:pPr>
    </w:p>
    <w:p w:rsidR="00E91C7B" w:rsidRPr="00E35F91" w:rsidRDefault="006162BC" w:rsidP="00FC2DA4">
      <w:pPr>
        <w:pStyle w:val="NoSpacing"/>
        <w:jc w:val="both"/>
        <w:rPr>
          <w:rFonts w:ascii="Segoe UI" w:hAnsi="Segoe UI" w:cs="Segoe UI"/>
          <w:color w:val="auto"/>
          <w:sz w:val="20"/>
        </w:rPr>
      </w:pPr>
      <w:r w:rsidRPr="00E35F91">
        <w:rPr>
          <w:rFonts w:ascii="Segoe UI" w:hAnsi="Segoe UI" w:cs="Segoe UI"/>
          <w:color w:val="auto"/>
          <w:sz w:val="20"/>
        </w:rPr>
        <w:t xml:space="preserve">DSA </w:t>
      </w:r>
      <w:r w:rsidR="00F104E1" w:rsidRPr="00E35F91">
        <w:rPr>
          <w:rFonts w:ascii="Segoe UI" w:hAnsi="Segoe UI" w:cs="Segoe UI"/>
          <w:color w:val="auto"/>
          <w:sz w:val="20"/>
        </w:rPr>
        <w:t>submits</w:t>
      </w:r>
      <w:r w:rsidRPr="00E35F91">
        <w:rPr>
          <w:rFonts w:ascii="Segoe UI" w:hAnsi="Segoe UI" w:cs="Segoe UI"/>
          <w:color w:val="auto"/>
          <w:sz w:val="20"/>
        </w:rPr>
        <w:t xml:space="preserve"> there </w:t>
      </w:r>
      <w:r w:rsidR="00C96E38" w:rsidRPr="00E35F91">
        <w:rPr>
          <w:rFonts w:ascii="Segoe UI" w:hAnsi="Segoe UI" w:cs="Segoe UI"/>
          <w:color w:val="auto"/>
          <w:sz w:val="20"/>
        </w:rPr>
        <w:t>is no evidence</w:t>
      </w:r>
      <w:r w:rsidRPr="00E35F91">
        <w:rPr>
          <w:rFonts w:ascii="Segoe UI" w:hAnsi="Segoe UI" w:cs="Segoe UI"/>
          <w:color w:val="auto"/>
          <w:sz w:val="20"/>
        </w:rPr>
        <w:t xml:space="preserve"> to support extending the meaning of pyramid selling.   If there was, the more appropriate approach to addressing instances of this behaviour lies in </w:t>
      </w:r>
      <w:r w:rsidR="008A68E7" w:rsidRPr="00E35F91">
        <w:rPr>
          <w:rFonts w:ascii="Segoe UI" w:hAnsi="Segoe UI" w:cs="Segoe UI"/>
          <w:color w:val="auto"/>
          <w:sz w:val="20"/>
        </w:rPr>
        <w:t>enforcing</w:t>
      </w:r>
      <w:r w:rsidRPr="00E35F91">
        <w:rPr>
          <w:rFonts w:ascii="Segoe UI" w:hAnsi="Segoe UI" w:cs="Segoe UI"/>
          <w:color w:val="auto"/>
          <w:sz w:val="20"/>
        </w:rPr>
        <w:t xml:space="preserve"> </w:t>
      </w:r>
      <w:r w:rsidR="00C96E38" w:rsidRPr="00E35F91">
        <w:rPr>
          <w:rFonts w:ascii="Segoe UI" w:hAnsi="Segoe UI" w:cs="Segoe UI"/>
          <w:color w:val="auto"/>
          <w:sz w:val="20"/>
        </w:rPr>
        <w:t>existing ACL</w:t>
      </w:r>
      <w:r w:rsidRPr="00E35F91">
        <w:rPr>
          <w:rFonts w:ascii="Segoe UI" w:hAnsi="Segoe UI" w:cs="Segoe UI"/>
          <w:color w:val="auto"/>
          <w:sz w:val="20"/>
        </w:rPr>
        <w:t xml:space="preserve"> provisions, not with extending its meaning in vague criteria that threatens legitimate business models.</w:t>
      </w:r>
    </w:p>
    <w:p w:rsidR="0069784B" w:rsidRPr="00E35F91" w:rsidRDefault="0069784B" w:rsidP="00FC2DA4">
      <w:pPr>
        <w:pStyle w:val="NoSpacing"/>
        <w:jc w:val="both"/>
        <w:rPr>
          <w:rFonts w:ascii="Segoe UI" w:hAnsi="Segoe UI" w:cs="Segoe UI"/>
          <w:color w:val="auto"/>
          <w:sz w:val="20"/>
        </w:rPr>
      </w:pPr>
    </w:p>
    <w:p w:rsidR="00FC2DA4" w:rsidRPr="00E35F91" w:rsidRDefault="0069784B" w:rsidP="00FC2DA4">
      <w:pPr>
        <w:pStyle w:val="NoSpacing"/>
        <w:jc w:val="both"/>
        <w:rPr>
          <w:rFonts w:ascii="Segoe UI" w:hAnsi="Segoe UI" w:cs="Segoe UI"/>
          <w:color w:val="auto"/>
          <w:sz w:val="20"/>
        </w:rPr>
      </w:pPr>
      <w:r w:rsidRPr="00E35F91">
        <w:rPr>
          <w:rFonts w:ascii="Segoe UI" w:hAnsi="Segoe UI" w:cs="Segoe UI"/>
          <w:color w:val="auto"/>
          <w:sz w:val="20"/>
        </w:rPr>
        <w:t xml:space="preserve">December </w:t>
      </w:r>
      <w:r w:rsidR="009857C8" w:rsidRPr="00E35F91">
        <w:rPr>
          <w:rFonts w:ascii="Segoe UI" w:hAnsi="Segoe UI" w:cs="Segoe UI"/>
          <w:color w:val="auto"/>
          <w:sz w:val="20"/>
        </w:rPr>
        <w:t>2016</w:t>
      </w:r>
    </w:p>
    <w:p w:rsidR="00FC2DA4" w:rsidRPr="00E35F91" w:rsidRDefault="00FC2DA4" w:rsidP="00FC2DA4">
      <w:pPr>
        <w:rPr>
          <w:rFonts w:ascii="Segoe UI" w:hAnsi="Segoe UI" w:cs="Segoe UI"/>
        </w:rPr>
      </w:pPr>
    </w:p>
    <w:p w:rsidR="00E35F91" w:rsidRDefault="00FC2DA4" w:rsidP="00E35F91">
      <w:pPr>
        <w:tabs>
          <w:tab w:val="left" w:pos="2520"/>
          <w:tab w:val="left" w:pos="5580"/>
          <w:tab w:val="left" w:pos="6690"/>
        </w:tabs>
        <w:rPr>
          <w:rFonts w:ascii="Segoe UI" w:hAnsi="Segoe UI" w:cs="Segoe UI"/>
        </w:rPr>
      </w:pPr>
      <w:r w:rsidRPr="00E35F91">
        <w:rPr>
          <w:rFonts w:ascii="Segoe UI" w:hAnsi="Segoe UI" w:cs="Segoe UI"/>
        </w:rPr>
        <w:tab/>
      </w:r>
      <w:r w:rsidRPr="00E35F91">
        <w:rPr>
          <w:rFonts w:ascii="Segoe UI" w:hAnsi="Segoe UI" w:cs="Segoe UI"/>
        </w:rPr>
        <w:tab/>
      </w:r>
      <w:r w:rsidR="00E35F91">
        <w:rPr>
          <w:rFonts w:ascii="Segoe UI" w:hAnsi="Segoe UI" w:cs="Segoe UI"/>
        </w:rPr>
        <w:tab/>
      </w:r>
    </w:p>
    <w:p w:rsidR="009857C8" w:rsidRPr="00E35F91" w:rsidRDefault="00E35F91" w:rsidP="00E35F91">
      <w:pPr>
        <w:tabs>
          <w:tab w:val="left" w:pos="2910"/>
        </w:tabs>
        <w:rPr>
          <w:rFonts w:ascii="Segoe UI" w:hAnsi="Segoe UI" w:cs="Segoe UI"/>
        </w:rPr>
      </w:pPr>
      <w:r>
        <w:rPr>
          <w:rFonts w:ascii="Segoe UI" w:hAnsi="Segoe UI" w:cs="Segoe UI"/>
        </w:rPr>
        <w:tab/>
      </w:r>
    </w:p>
    <w:sectPr w:rsidR="009857C8" w:rsidRPr="00E35F91" w:rsidSect="003F66A9">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9A2" w:rsidRDefault="004879A2" w:rsidP="00651820">
      <w:pPr>
        <w:spacing w:before="0" w:after="0"/>
      </w:pPr>
      <w:r>
        <w:separator/>
      </w:r>
    </w:p>
  </w:endnote>
  <w:endnote w:type="continuationSeparator" w:id="0">
    <w:p w:rsidR="004879A2" w:rsidRDefault="004879A2" w:rsidP="0065182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7F5" w:rsidRDefault="00D967F5">
    <w:pPr>
      <w:pStyle w:val="Footer"/>
      <w:jc w:val="right"/>
    </w:pPr>
    <w:r>
      <w:fldChar w:fldCharType="begin"/>
    </w:r>
    <w:r>
      <w:instrText xml:space="preserve"> PAGE   \* MERGEFORMAT </w:instrText>
    </w:r>
    <w:r>
      <w:fldChar w:fldCharType="separate"/>
    </w:r>
    <w:r w:rsidR="006A1F42">
      <w:rPr>
        <w:noProof/>
      </w:rPr>
      <w:t>2</w:t>
    </w:r>
    <w:r>
      <w:fldChar w:fldCharType="end"/>
    </w:r>
  </w:p>
  <w:p w:rsidR="00D967F5" w:rsidRDefault="00D96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9A2" w:rsidRDefault="004879A2" w:rsidP="00651820">
      <w:pPr>
        <w:spacing w:before="0" w:after="0"/>
      </w:pPr>
      <w:r>
        <w:separator/>
      </w:r>
    </w:p>
  </w:footnote>
  <w:footnote w:type="continuationSeparator" w:id="0">
    <w:p w:rsidR="004879A2" w:rsidRDefault="004879A2" w:rsidP="00651820">
      <w:pPr>
        <w:spacing w:before="0" w:after="0"/>
      </w:pPr>
      <w:r>
        <w:continuationSeparator/>
      </w:r>
    </w:p>
  </w:footnote>
  <w:footnote w:id="1">
    <w:p w:rsidR="00000000" w:rsidRDefault="007073C1">
      <w:pPr>
        <w:pStyle w:val="FootnoteText"/>
      </w:pPr>
      <w:r w:rsidRPr="007073C1">
        <w:rPr>
          <w:rStyle w:val="FootnoteReference"/>
          <w:sz w:val="18"/>
          <w:szCs w:val="18"/>
        </w:rPr>
        <w:footnoteRef/>
      </w:r>
      <w:r w:rsidR="008A3FE4">
        <w:rPr>
          <w:sz w:val="18"/>
          <w:szCs w:val="18"/>
        </w:rPr>
        <w:t xml:space="preserve"> Australian Consumer Law Review:  Response to Issues Paper, May 2016.</w:t>
      </w:r>
    </w:p>
  </w:footnote>
  <w:footnote w:id="2">
    <w:p w:rsidR="00000000" w:rsidRDefault="008A3FE4">
      <w:pPr>
        <w:pStyle w:val="FootnoteText"/>
      </w:pPr>
      <w:r>
        <w:rPr>
          <w:rStyle w:val="FootnoteReference"/>
        </w:rPr>
        <w:footnoteRef/>
      </w:r>
      <w:r>
        <w:t xml:space="preserve"> </w:t>
      </w:r>
      <w:r>
        <w:rPr>
          <w:lang w:val="en-US"/>
        </w:rPr>
        <w:t>Parliamentary Joint Committee on Corporations and Financial Services, 14 October 2011.</w:t>
      </w:r>
    </w:p>
  </w:footnote>
  <w:footnote w:id="3">
    <w:p w:rsidR="00000000" w:rsidRDefault="008A3FE4">
      <w:pPr>
        <w:pStyle w:val="FootnoteText"/>
      </w:pPr>
      <w:r>
        <w:rPr>
          <w:rStyle w:val="FootnoteReference"/>
        </w:rPr>
        <w:footnoteRef/>
      </w:r>
      <w:r>
        <w:t xml:space="preserve"> </w:t>
      </w:r>
      <w:r>
        <w:rPr>
          <w:lang w:val="en-US"/>
        </w:rPr>
        <w:t>Review of the small amount credit contract laws, Final Report March 2016.</w:t>
      </w:r>
    </w:p>
  </w:footnote>
  <w:footnote w:id="4">
    <w:p w:rsidR="00000000" w:rsidRDefault="0013108D">
      <w:pPr>
        <w:pStyle w:val="FootnoteText"/>
      </w:pPr>
      <w:r>
        <w:rPr>
          <w:rStyle w:val="FootnoteReference"/>
        </w:rPr>
        <w:footnoteRef/>
      </w:r>
      <w:r>
        <w:t xml:space="preserve"> ACL Sections 260(c), (e).</w:t>
      </w:r>
    </w:p>
  </w:footnote>
  <w:footnote w:id="5">
    <w:p w:rsidR="00000000" w:rsidRDefault="008A3FE4">
      <w:pPr>
        <w:pStyle w:val="FootnoteText"/>
      </w:pPr>
      <w:r>
        <w:rPr>
          <w:rStyle w:val="FootnoteReference"/>
        </w:rPr>
        <w:footnoteRef/>
      </w:r>
      <w:r>
        <w:t xml:space="preserve"> See Baker &amp; McKenzie response to the Issues Paper for examples of current inaccuracies.</w:t>
      </w:r>
    </w:p>
  </w:footnote>
  <w:footnote w:id="6">
    <w:p w:rsidR="00000000" w:rsidRDefault="008A3FE4">
      <w:pPr>
        <w:pStyle w:val="FootnoteText"/>
      </w:pPr>
      <w:r>
        <w:rPr>
          <w:rStyle w:val="FootnoteReference"/>
        </w:rPr>
        <w:footnoteRef/>
      </w:r>
      <w:r>
        <w:t xml:space="preserve"> </w:t>
      </w:r>
      <w:r>
        <w:rPr>
          <w:lang w:val="en-US"/>
        </w:rPr>
        <w:t>See Products Safety Australia website.</w:t>
      </w:r>
    </w:p>
  </w:footnote>
  <w:footnote w:id="7">
    <w:p w:rsidR="00000000" w:rsidRDefault="004B13BB">
      <w:pPr>
        <w:pStyle w:val="FootnoteText"/>
      </w:pPr>
      <w:r>
        <w:rPr>
          <w:rStyle w:val="FootnoteReference"/>
        </w:rPr>
        <w:footnoteRef/>
      </w:r>
      <w:r>
        <w:t xml:space="preserve"> See DSA submission to Senate Economics Committee Inquiry into the Trade Practices Amendment (Australian Consumer Law) Bill, April 2010.</w:t>
      </w:r>
    </w:p>
  </w:footnote>
  <w:footnote w:id="8">
    <w:p w:rsidR="00000000" w:rsidRDefault="004B13BB">
      <w:pPr>
        <w:pStyle w:val="FootnoteText"/>
      </w:pPr>
      <w:r>
        <w:rPr>
          <w:rStyle w:val="FootnoteReference"/>
        </w:rPr>
        <w:footnoteRef/>
      </w:r>
      <w:r>
        <w:t xml:space="preserve"> See for example, ACL </w:t>
      </w:r>
      <w:r w:rsidR="001A5726">
        <w:t>Sections 73</w:t>
      </w:r>
      <w:r>
        <w:t>-78, 80.</w:t>
      </w:r>
    </w:p>
  </w:footnote>
  <w:footnote w:id="9">
    <w:p w:rsidR="00000000" w:rsidRDefault="001A5726">
      <w:pPr>
        <w:pStyle w:val="FootnoteText"/>
      </w:pPr>
      <w:r>
        <w:rPr>
          <w:rStyle w:val="FootnoteReference"/>
        </w:rPr>
        <w:footnoteRef/>
      </w:r>
      <w:r>
        <w:t xml:space="preserve"> </w:t>
      </w:r>
      <w:r>
        <w:rPr>
          <w:lang w:val="en-US"/>
        </w:rPr>
        <w:t xml:space="preserve">For example, an independent distributor opens a micro business reselling through social media cosmetic products manufactured by a DSA member.  Sales exceeding $100 may result from </w:t>
      </w:r>
      <w:r w:rsidR="000408E7">
        <w:rPr>
          <w:lang w:val="en-US"/>
        </w:rPr>
        <w:t>online</w:t>
      </w:r>
      <w:r>
        <w:rPr>
          <w:lang w:val="en-US"/>
        </w:rPr>
        <w:t xml:space="preserve"> approaches by the distributor, perhaps from referrals.   Other sales are consumer initiated from online searching.   Assume there is an unsolicited sale, how does a distributor through a technology medium meet the ACL’s unsolicited selling requirements?</w:t>
      </w:r>
      <w:r w:rsidRPr="001A5726">
        <w:rPr>
          <w:lang w:val="en-US"/>
        </w:rPr>
        <w:t xml:space="preserve"> </w:t>
      </w:r>
    </w:p>
  </w:footnote>
  <w:footnote w:id="10">
    <w:p w:rsidR="00000000" w:rsidRDefault="007A39BC">
      <w:pPr>
        <w:pStyle w:val="FootnoteText"/>
      </w:pPr>
      <w:r>
        <w:rPr>
          <w:rStyle w:val="FootnoteReference"/>
        </w:rPr>
        <w:footnoteRef/>
      </w:r>
      <w:r>
        <w:t xml:space="preserve"> </w:t>
      </w:r>
      <w:r>
        <w:rPr>
          <w:lang w:val="en-US"/>
        </w:rPr>
        <w:t>See the New Zealand model.</w:t>
      </w:r>
    </w:p>
  </w:footnote>
  <w:footnote w:id="11">
    <w:p w:rsidR="00000000" w:rsidRDefault="00F26420">
      <w:pPr>
        <w:pStyle w:val="FootnoteText"/>
      </w:pPr>
      <w:r>
        <w:rPr>
          <w:rStyle w:val="FootnoteReference"/>
        </w:rPr>
        <w:footnoteRef/>
      </w:r>
      <w:r>
        <w:t xml:space="preserve"> </w:t>
      </w:r>
      <w:r>
        <w:rPr>
          <w:lang w:val="en-US"/>
        </w:rPr>
        <w:t>See page 23 of the Consumer Action Law Centre response to the Australian Consumer Law Review Issues Paper.</w:t>
      </w:r>
    </w:p>
  </w:footnote>
  <w:footnote w:id="12">
    <w:p w:rsidR="00000000" w:rsidRDefault="00F26420">
      <w:pPr>
        <w:pStyle w:val="FootnoteText"/>
      </w:pPr>
      <w:r>
        <w:rPr>
          <w:rStyle w:val="FootnoteReference"/>
        </w:rPr>
        <w:footnoteRef/>
      </w:r>
      <w:r>
        <w:t xml:space="preserve"> </w:t>
      </w:r>
      <w:r w:rsidR="00812175">
        <w:t xml:space="preserve">For example, </w:t>
      </w:r>
      <w:r>
        <w:t>Social and Economic Impacts of Direct Selling: Deloitte Access Economics, December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E97" w:rsidRDefault="00902E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B2D"/>
    <w:multiLevelType w:val="hybridMultilevel"/>
    <w:tmpl w:val="B8148DCC"/>
    <w:lvl w:ilvl="0" w:tplc="67B047A8">
      <w:start w:val="1"/>
      <w:numFmt w:val="bullet"/>
      <w:pStyle w:val="TableTextLeft-Bullet"/>
      <w:lvlText w:val="•"/>
      <w:lvlJc w:val="left"/>
      <w:pPr>
        <w:tabs>
          <w:tab w:val="num" w:pos="284"/>
        </w:tabs>
        <w:ind w:left="284" w:hanging="284"/>
      </w:pPr>
      <w:rPr>
        <w:rFonts w:ascii="Times New Roman" w:hAnsi="Times New Roman" w:hint="default"/>
        <w:color w:val="auto"/>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CB504B"/>
    <w:multiLevelType w:val="hybridMultilevel"/>
    <w:tmpl w:val="2F4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C4F8B"/>
    <w:multiLevelType w:val="hybridMultilevel"/>
    <w:tmpl w:val="99E2E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F2666"/>
    <w:multiLevelType w:val="hybridMultilevel"/>
    <w:tmpl w:val="93F0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E6101D"/>
    <w:multiLevelType w:val="hybridMultilevel"/>
    <w:tmpl w:val="55AE6CDA"/>
    <w:lvl w:ilvl="0" w:tplc="F4FC1B44">
      <w:start w:val="1"/>
      <w:numFmt w:val="decimal"/>
      <w:pStyle w:val="TableTextLeft-Numbering"/>
      <w:lvlText w:val="%1. "/>
      <w:lvlJc w:val="left"/>
      <w:pPr>
        <w:tabs>
          <w:tab w:val="num" w:pos="284"/>
        </w:tabs>
        <w:ind w:left="284" w:hanging="284"/>
      </w:pPr>
      <w:rPr>
        <w:rFonts w:ascii="Arial" w:hAnsi="Arial" w:cs="Symbol" w:hint="default"/>
        <w:b w:val="0"/>
        <w:i w:val="0"/>
        <w:sz w:val="16"/>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357A463F"/>
    <w:multiLevelType w:val="hybridMultilevel"/>
    <w:tmpl w:val="0BA4D93E"/>
    <w:lvl w:ilvl="0" w:tplc="D2A8F540">
      <w:start w:val="1"/>
      <w:numFmt w:val="decimal"/>
      <w:pStyle w:val="TableTextLeft-NumberingAppB"/>
      <w:lvlText w:val="%1."/>
      <w:lvlJc w:val="left"/>
      <w:pPr>
        <w:ind w:left="720" w:hanging="360"/>
      </w:pPr>
      <w:rPr>
        <w:rFonts w:ascii="Calibri" w:hAnsi="Calibri" w:cs="Times New Roman" w:hint="default"/>
        <w:b w:val="0"/>
        <w:bCs w:val="0"/>
        <w:i/>
        <w:iCs w:val="0"/>
        <w:caps w:val="0"/>
        <w:strike w:val="0"/>
        <w:dstrike w:val="0"/>
        <w:vanish w:val="0"/>
        <w:color w:val="002060"/>
        <w:spacing w:val="0"/>
        <w:kern w:val="0"/>
        <w:position w:val="0"/>
        <w:sz w:val="21"/>
        <w:u w:val="none"/>
        <w:effect w:val="none"/>
        <w:vertAlign w:val="baseline"/>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391237E2"/>
    <w:multiLevelType w:val="hybridMultilevel"/>
    <w:tmpl w:val="391A0D3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3F5A0FF6"/>
    <w:multiLevelType w:val="hybridMultilevel"/>
    <w:tmpl w:val="5A643320"/>
    <w:lvl w:ilvl="0" w:tplc="1A3E0F7C">
      <w:start w:val="1"/>
      <w:numFmt w:val="bullet"/>
      <w:pStyle w:val="TableTextLeft-Bullet-IndentAppB"/>
      <w:lvlText w:val=""/>
      <w:lvlJc w:val="left"/>
      <w:pPr>
        <w:tabs>
          <w:tab w:val="num" w:pos="680"/>
        </w:tabs>
        <w:ind w:left="340"/>
      </w:pPr>
      <w:rPr>
        <w:rFonts w:ascii="Wingdings" w:hAnsi="Wingdings" w:hint="default"/>
      </w:rPr>
    </w:lvl>
    <w:lvl w:ilvl="1" w:tplc="0C090003">
      <w:start w:val="1"/>
      <w:numFmt w:val="bullet"/>
      <w:lvlText w:val="o"/>
      <w:lvlJc w:val="left"/>
      <w:pPr>
        <w:ind w:left="1780" w:hanging="360"/>
      </w:pPr>
      <w:rPr>
        <w:rFonts w:ascii="Courier New" w:hAnsi="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8">
    <w:nsid w:val="42185186"/>
    <w:multiLevelType w:val="hybridMultilevel"/>
    <w:tmpl w:val="9906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184E82"/>
    <w:multiLevelType w:val="hybridMultilevel"/>
    <w:tmpl w:val="1390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CF79F3"/>
    <w:multiLevelType w:val="hybridMultilevel"/>
    <w:tmpl w:val="8374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185945"/>
    <w:multiLevelType w:val="hybridMultilevel"/>
    <w:tmpl w:val="CF7E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CB4A2A"/>
    <w:multiLevelType w:val="multilevel"/>
    <w:tmpl w:val="E860630A"/>
    <w:lvl w:ilvl="0">
      <w:start w:val="2"/>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1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5BFB7B64"/>
    <w:multiLevelType w:val="hybridMultilevel"/>
    <w:tmpl w:val="D7BA9EE6"/>
    <w:lvl w:ilvl="0" w:tplc="A39035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2F4220"/>
    <w:multiLevelType w:val="hybridMultilevel"/>
    <w:tmpl w:val="B5D4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673808"/>
    <w:multiLevelType w:val="hybridMultilevel"/>
    <w:tmpl w:val="987C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F410BF"/>
    <w:multiLevelType w:val="multilevel"/>
    <w:tmpl w:val="2E56290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6B7409C6"/>
    <w:multiLevelType w:val="hybridMultilevel"/>
    <w:tmpl w:val="5C24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89031F"/>
    <w:multiLevelType w:val="hybridMultilevel"/>
    <w:tmpl w:val="EE80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9C3567"/>
    <w:multiLevelType w:val="hybridMultilevel"/>
    <w:tmpl w:val="F3D01A8E"/>
    <w:lvl w:ilvl="0" w:tplc="1034E62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
  </w:num>
  <w:num w:numId="2">
    <w:abstractNumId w:val="0"/>
  </w:num>
  <w:num w:numId="3">
    <w:abstractNumId w:val="5"/>
  </w:num>
  <w:num w:numId="4">
    <w:abstractNumId w:val="7"/>
  </w:num>
  <w:num w:numId="5">
    <w:abstractNumId w:val="19"/>
  </w:num>
  <w:num w:numId="6">
    <w:abstractNumId w:val="15"/>
  </w:num>
  <w:num w:numId="7">
    <w:abstractNumId w:val="3"/>
  </w:num>
  <w:num w:numId="8">
    <w:abstractNumId w:val="2"/>
  </w:num>
  <w:num w:numId="9">
    <w:abstractNumId w:val="9"/>
  </w:num>
  <w:num w:numId="10">
    <w:abstractNumId w:val="11"/>
  </w:num>
  <w:num w:numId="11">
    <w:abstractNumId w:val="18"/>
  </w:num>
  <w:num w:numId="12">
    <w:abstractNumId w:val="12"/>
  </w:num>
  <w:num w:numId="13">
    <w:abstractNumId w:val="1"/>
  </w:num>
  <w:num w:numId="14">
    <w:abstractNumId w:val="17"/>
  </w:num>
  <w:num w:numId="15">
    <w:abstractNumId w:val="8"/>
  </w:num>
  <w:num w:numId="16">
    <w:abstractNumId w:val="10"/>
  </w:num>
  <w:num w:numId="17">
    <w:abstractNumId w:val="14"/>
  </w:num>
  <w:num w:numId="18">
    <w:abstractNumId w:val="16"/>
  </w:num>
  <w:num w:numId="19">
    <w:abstractNumId w:val="6"/>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13"/>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499"/>
    <w:rsid w:val="00021D24"/>
    <w:rsid w:val="00022C4A"/>
    <w:rsid w:val="0002532F"/>
    <w:rsid w:val="000265AD"/>
    <w:rsid w:val="000326AF"/>
    <w:rsid w:val="00033695"/>
    <w:rsid w:val="000339DE"/>
    <w:rsid w:val="000408E7"/>
    <w:rsid w:val="0008554F"/>
    <w:rsid w:val="00091329"/>
    <w:rsid w:val="0009270F"/>
    <w:rsid w:val="000A769B"/>
    <w:rsid w:val="000A7C15"/>
    <w:rsid w:val="000C0F87"/>
    <w:rsid w:val="00106B62"/>
    <w:rsid w:val="00106DFE"/>
    <w:rsid w:val="00113FB7"/>
    <w:rsid w:val="001214F9"/>
    <w:rsid w:val="0013108D"/>
    <w:rsid w:val="0014142C"/>
    <w:rsid w:val="00157FD2"/>
    <w:rsid w:val="0016060F"/>
    <w:rsid w:val="00167D73"/>
    <w:rsid w:val="00171BD7"/>
    <w:rsid w:val="00175A1E"/>
    <w:rsid w:val="001827EC"/>
    <w:rsid w:val="001A3ACE"/>
    <w:rsid w:val="001A5726"/>
    <w:rsid w:val="001B59F8"/>
    <w:rsid w:val="001D2888"/>
    <w:rsid w:val="001D38CE"/>
    <w:rsid w:val="001E5690"/>
    <w:rsid w:val="001F0421"/>
    <w:rsid w:val="001F21E1"/>
    <w:rsid w:val="001F21E2"/>
    <w:rsid w:val="001F38BD"/>
    <w:rsid w:val="00210AA6"/>
    <w:rsid w:val="00236436"/>
    <w:rsid w:val="00250D6A"/>
    <w:rsid w:val="00260FDC"/>
    <w:rsid w:val="002820A8"/>
    <w:rsid w:val="002A01A7"/>
    <w:rsid w:val="002B3AA0"/>
    <w:rsid w:val="002C590B"/>
    <w:rsid w:val="002D3A0C"/>
    <w:rsid w:val="002F5272"/>
    <w:rsid w:val="002F6F02"/>
    <w:rsid w:val="0031264A"/>
    <w:rsid w:val="0031285B"/>
    <w:rsid w:val="00321ABF"/>
    <w:rsid w:val="003368D2"/>
    <w:rsid w:val="00337133"/>
    <w:rsid w:val="0034010B"/>
    <w:rsid w:val="003414DC"/>
    <w:rsid w:val="00343516"/>
    <w:rsid w:val="00343B94"/>
    <w:rsid w:val="00351F59"/>
    <w:rsid w:val="00363770"/>
    <w:rsid w:val="00370CF9"/>
    <w:rsid w:val="00377EA4"/>
    <w:rsid w:val="00387C62"/>
    <w:rsid w:val="00397CCB"/>
    <w:rsid w:val="003A77BC"/>
    <w:rsid w:val="003B1F2B"/>
    <w:rsid w:val="003C4F41"/>
    <w:rsid w:val="003C5FB9"/>
    <w:rsid w:val="003E4E96"/>
    <w:rsid w:val="003E79D6"/>
    <w:rsid w:val="003F22E3"/>
    <w:rsid w:val="003F66A9"/>
    <w:rsid w:val="00400F34"/>
    <w:rsid w:val="00412115"/>
    <w:rsid w:val="00450DDD"/>
    <w:rsid w:val="0047340E"/>
    <w:rsid w:val="00483CC2"/>
    <w:rsid w:val="004879A2"/>
    <w:rsid w:val="00491F37"/>
    <w:rsid w:val="004A0A6E"/>
    <w:rsid w:val="004B13BB"/>
    <w:rsid w:val="004B2ABB"/>
    <w:rsid w:val="004B30CF"/>
    <w:rsid w:val="004C615A"/>
    <w:rsid w:val="004D4D13"/>
    <w:rsid w:val="004D6AB1"/>
    <w:rsid w:val="00505D0A"/>
    <w:rsid w:val="00516039"/>
    <w:rsid w:val="005278F0"/>
    <w:rsid w:val="00534E35"/>
    <w:rsid w:val="00544115"/>
    <w:rsid w:val="0055193F"/>
    <w:rsid w:val="005555B7"/>
    <w:rsid w:val="00580041"/>
    <w:rsid w:val="005B3465"/>
    <w:rsid w:val="005B513E"/>
    <w:rsid w:val="005D26E3"/>
    <w:rsid w:val="005D289A"/>
    <w:rsid w:val="005E2CFC"/>
    <w:rsid w:val="006162BC"/>
    <w:rsid w:val="00651820"/>
    <w:rsid w:val="00664A5D"/>
    <w:rsid w:val="00672169"/>
    <w:rsid w:val="006759AB"/>
    <w:rsid w:val="0068617C"/>
    <w:rsid w:val="0069784B"/>
    <w:rsid w:val="006A1F42"/>
    <w:rsid w:val="006D1A09"/>
    <w:rsid w:val="006D2CE9"/>
    <w:rsid w:val="006D6CAB"/>
    <w:rsid w:val="006E14C2"/>
    <w:rsid w:val="006E59CB"/>
    <w:rsid w:val="006F48DD"/>
    <w:rsid w:val="007042E8"/>
    <w:rsid w:val="007073C1"/>
    <w:rsid w:val="00716B62"/>
    <w:rsid w:val="00757C31"/>
    <w:rsid w:val="007610F5"/>
    <w:rsid w:val="007662E6"/>
    <w:rsid w:val="007750B6"/>
    <w:rsid w:val="007870F5"/>
    <w:rsid w:val="007A39BC"/>
    <w:rsid w:val="007C672B"/>
    <w:rsid w:val="007D1D9D"/>
    <w:rsid w:val="007D7B78"/>
    <w:rsid w:val="007E2EA1"/>
    <w:rsid w:val="007E3BBA"/>
    <w:rsid w:val="007E4433"/>
    <w:rsid w:val="007E7898"/>
    <w:rsid w:val="007F367B"/>
    <w:rsid w:val="0080288D"/>
    <w:rsid w:val="00812175"/>
    <w:rsid w:val="00860506"/>
    <w:rsid w:val="008A3FE4"/>
    <w:rsid w:val="008A68E7"/>
    <w:rsid w:val="008B238D"/>
    <w:rsid w:val="008B6D18"/>
    <w:rsid w:val="008C180F"/>
    <w:rsid w:val="008C772C"/>
    <w:rsid w:val="008D5499"/>
    <w:rsid w:val="008E2A47"/>
    <w:rsid w:val="00902E97"/>
    <w:rsid w:val="009132ED"/>
    <w:rsid w:val="00916346"/>
    <w:rsid w:val="0091640D"/>
    <w:rsid w:val="0092187C"/>
    <w:rsid w:val="00930109"/>
    <w:rsid w:val="00943F2B"/>
    <w:rsid w:val="009673D4"/>
    <w:rsid w:val="00970298"/>
    <w:rsid w:val="009735F2"/>
    <w:rsid w:val="00981D46"/>
    <w:rsid w:val="0098542C"/>
    <w:rsid w:val="009857C8"/>
    <w:rsid w:val="009871B1"/>
    <w:rsid w:val="0099479D"/>
    <w:rsid w:val="009A59F0"/>
    <w:rsid w:val="009B673C"/>
    <w:rsid w:val="009C285B"/>
    <w:rsid w:val="009C2F7B"/>
    <w:rsid w:val="009E6D08"/>
    <w:rsid w:val="009F40CF"/>
    <w:rsid w:val="009F754A"/>
    <w:rsid w:val="00A054E2"/>
    <w:rsid w:val="00A14638"/>
    <w:rsid w:val="00A147A2"/>
    <w:rsid w:val="00A15A84"/>
    <w:rsid w:val="00A215EB"/>
    <w:rsid w:val="00A232FB"/>
    <w:rsid w:val="00A36817"/>
    <w:rsid w:val="00A44077"/>
    <w:rsid w:val="00A80F27"/>
    <w:rsid w:val="00AA3955"/>
    <w:rsid w:val="00AB006A"/>
    <w:rsid w:val="00AC66C9"/>
    <w:rsid w:val="00AD07F7"/>
    <w:rsid w:val="00AE769E"/>
    <w:rsid w:val="00AF7419"/>
    <w:rsid w:val="00B1011D"/>
    <w:rsid w:val="00B11622"/>
    <w:rsid w:val="00B17FAD"/>
    <w:rsid w:val="00B21072"/>
    <w:rsid w:val="00B268E2"/>
    <w:rsid w:val="00B44CBB"/>
    <w:rsid w:val="00B52382"/>
    <w:rsid w:val="00B55EF2"/>
    <w:rsid w:val="00B70D1C"/>
    <w:rsid w:val="00B77F32"/>
    <w:rsid w:val="00B812A7"/>
    <w:rsid w:val="00B84918"/>
    <w:rsid w:val="00B95BB5"/>
    <w:rsid w:val="00BA461A"/>
    <w:rsid w:val="00BB00DD"/>
    <w:rsid w:val="00BC1DC4"/>
    <w:rsid w:val="00BC6FB8"/>
    <w:rsid w:val="00BD61DE"/>
    <w:rsid w:val="00BF062B"/>
    <w:rsid w:val="00C05775"/>
    <w:rsid w:val="00C17ED2"/>
    <w:rsid w:val="00C31980"/>
    <w:rsid w:val="00C365BA"/>
    <w:rsid w:val="00C44818"/>
    <w:rsid w:val="00C5198F"/>
    <w:rsid w:val="00C52FDA"/>
    <w:rsid w:val="00C623E5"/>
    <w:rsid w:val="00C641B9"/>
    <w:rsid w:val="00C7238A"/>
    <w:rsid w:val="00C73F6B"/>
    <w:rsid w:val="00C75BA4"/>
    <w:rsid w:val="00C8247B"/>
    <w:rsid w:val="00C8250D"/>
    <w:rsid w:val="00C90F0F"/>
    <w:rsid w:val="00C96A27"/>
    <w:rsid w:val="00C96E38"/>
    <w:rsid w:val="00CA4EED"/>
    <w:rsid w:val="00CC09C9"/>
    <w:rsid w:val="00CC79A2"/>
    <w:rsid w:val="00CD0A70"/>
    <w:rsid w:val="00CE435D"/>
    <w:rsid w:val="00CF06EA"/>
    <w:rsid w:val="00D04589"/>
    <w:rsid w:val="00D05DD8"/>
    <w:rsid w:val="00D21124"/>
    <w:rsid w:val="00D31B21"/>
    <w:rsid w:val="00D37381"/>
    <w:rsid w:val="00D42524"/>
    <w:rsid w:val="00D434C4"/>
    <w:rsid w:val="00D71461"/>
    <w:rsid w:val="00D74D31"/>
    <w:rsid w:val="00D85BB7"/>
    <w:rsid w:val="00D901B0"/>
    <w:rsid w:val="00D93FCA"/>
    <w:rsid w:val="00D942A2"/>
    <w:rsid w:val="00D967F5"/>
    <w:rsid w:val="00DA6C2C"/>
    <w:rsid w:val="00DB1086"/>
    <w:rsid w:val="00DB224D"/>
    <w:rsid w:val="00DC1544"/>
    <w:rsid w:val="00DC5E3B"/>
    <w:rsid w:val="00DC6360"/>
    <w:rsid w:val="00DD4007"/>
    <w:rsid w:val="00DE007A"/>
    <w:rsid w:val="00DE75F1"/>
    <w:rsid w:val="00DF17EF"/>
    <w:rsid w:val="00E062EF"/>
    <w:rsid w:val="00E124B7"/>
    <w:rsid w:val="00E22496"/>
    <w:rsid w:val="00E27A50"/>
    <w:rsid w:val="00E35F91"/>
    <w:rsid w:val="00E4040E"/>
    <w:rsid w:val="00E44E85"/>
    <w:rsid w:val="00E4759F"/>
    <w:rsid w:val="00E541B6"/>
    <w:rsid w:val="00E55658"/>
    <w:rsid w:val="00E67612"/>
    <w:rsid w:val="00E77D50"/>
    <w:rsid w:val="00E83AF2"/>
    <w:rsid w:val="00E91C7B"/>
    <w:rsid w:val="00E91F7C"/>
    <w:rsid w:val="00E93BB3"/>
    <w:rsid w:val="00EB1E12"/>
    <w:rsid w:val="00EC2DFA"/>
    <w:rsid w:val="00ED0A04"/>
    <w:rsid w:val="00ED2F62"/>
    <w:rsid w:val="00EE3412"/>
    <w:rsid w:val="00EF704C"/>
    <w:rsid w:val="00F0733C"/>
    <w:rsid w:val="00F104E1"/>
    <w:rsid w:val="00F23065"/>
    <w:rsid w:val="00F26420"/>
    <w:rsid w:val="00F342FF"/>
    <w:rsid w:val="00F411DF"/>
    <w:rsid w:val="00F51183"/>
    <w:rsid w:val="00F914BE"/>
    <w:rsid w:val="00FA3E90"/>
    <w:rsid w:val="00FB246D"/>
    <w:rsid w:val="00FB44B3"/>
    <w:rsid w:val="00FB67CA"/>
    <w:rsid w:val="00FB6D04"/>
    <w:rsid w:val="00FC2DA4"/>
    <w:rsid w:val="00FD2FCE"/>
    <w:rsid w:val="00FD3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Segoe U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F32"/>
    <w:pPr>
      <w:spacing w:before="120" w:after="240" w:line="240" w:lineRule="auto"/>
    </w:pPr>
    <w:rPr>
      <w:rFonts w:asciiTheme="minorHAnsi" w:hAnsiTheme="minorHAnsi" w:cs="Times New Roman"/>
      <w:color w:val="00000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77F32"/>
    <w:pPr>
      <w:spacing w:before="0" w:after="0"/>
    </w:pPr>
  </w:style>
  <w:style w:type="paragraph" w:customStyle="1" w:styleId="TableTextLeft-Bullet">
    <w:name w:val="Table Text Left - Bullet"/>
    <w:basedOn w:val="Normal"/>
    <w:rsid w:val="00B77F32"/>
    <w:pPr>
      <w:numPr>
        <w:numId w:val="2"/>
      </w:numPr>
      <w:spacing w:before="75" w:after="75"/>
    </w:pPr>
    <w:rPr>
      <w:sz w:val="20"/>
      <w:szCs w:val="18"/>
    </w:rPr>
  </w:style>
  <w:style w:type="paragraph" w:customStyle="1" w:styleId="TableColumnHeadingLeft-White">
    <w:name w:val="Table Column Heading Left - White"/>
    <w:basedOn w:val="Normal"/>
    <w:rsid w:val="00B77F32"/>
    <w:pPr>
      <w:spacing w:before="75" w:after="75"/>
    </w:pPr>
    <w:rPr>
      <w:b/>
      <w:color w:val="FFFFFF" w:themeColor="background1"/>
    </w:rPr>
  </w:style>
  <w:style w:type="paragraph" w:customStyle="1" w:styleId="TableTextLeft-Numbering">
    <w:name w:val="Table Text Left - Numbering"/>
    <w:basedOn w:val="Normal"/>
    <w:rsid w:val="00B77F32"/>
    <w:pPr>
      <w:numPr>
        <w:numId w:val="1"/>
      </w:numPr>
      <w:spacing w:before="75" w:after="75"/>
    </w:pPr>
    <w:rPr>
      <w:sz w:val="20"/>
    </w:rPr>
  </w:style>
  <w:style w:type="paragraph" w:customStyle="1" w:styleId="TableTextLeft-Bold">
    <w:name w:val="Table Text Left - Bold"/>
    <w:basedOn w:val="Normal"/>
    <w:rsid w:val="00B77F32"/>
    <w:pPr>
      <w:spacing w:before="80" w:after="80"/>
    </w:pPr>
    <w:rPr>
      <w:b/>
      <w:sz w:val="21"/>
    </w:rPr>
  </w:style>
  <w:style w:type="paragraph" w:customStyle="1" w:styleId="TableTextLeft-NumberingAppB">
    <w:name w:val="Table Text Left - Numbering (AppB)"/>
    <w:rsid w:val="00B77F32"/>
    <w:pPr>
      <w:numPr>
        <w:numId w:val="3"/>
      </w:numPr>
      <w:tabs>
        <w:tab w:val="left" w:pos="340"/>
      </w:tabs>
      <w:spacing w:before="80" w:after="80" w:line="269" w:lineRule="auto"/>
    </w:pPr>
    <w:rPr>
      <w:rFonts w:asciiTheme="minorHAnsi" w:hAnsiTheme="minorHAnsi" w:cs="Times New Roman"/>
      <w:color w:val="000000"/>
      <w:sz w:val="21"/>
      <w:szCs w:val="21"/>
      <w:lang w:val="en-AU" w:eastAsia="en-AU"/>
    </w:rPr>
  </w:style>
  <w:style w:type="paragraph" w:customStyle="1" w:styleId="TableTextLeft-Bullet-IndentAppB">
    <w:name w:val="Table Text Left - Bullet - Indent (AppB)"/>
    <w:basedOn w:val="Normal"/>
    <w:rsid w:val="00B77F32"/>
    <w:pPr>
      <w:numPr>
        <w:numId w:val="4"/>
      </w:numPr>
      <w:tabs>
        <w:tab w:val="left" w:pos="680"/>
      </w:tabs>
      <w:spacing w:before="80" w:after="80"/>
      <w:ind w:left="680" w:hanging="340"/>
    </w:pPr>
    <w:rPr>
      <w:sz w:val="21"/>
      <w:szCs w:val="18"/>
    </w:rPr>
  </w:style>
  <w:style w:type="character" w:styleId="Hyperlink">
    <w:name w:val="Hyperlink"/>
    <w:basedOn w:val="DefaultParagraphFont"/>
    <w:uiPriority w:val="99"/>
    <w:semiHidden/>
    <w:unhideWhenUsed/>
    <w:rsid w:val="00157FD2"/>
    <w:rPr>
      <w:rFonts w:cs="Times New Roman"/>
      <w:color w:val="0563C1" w:themeColor="hyperlink"/>
      <w:u w:val="single"/>
    </w:rPr>
  </w:style>
  <w:style w:type="paragraph" w:styleId="FootnoteText">
    <w:name w:val="footnote text"/>
    <w:basedOn w:val="Normal"/>
    <w:link w:val="FootnoteTextChar"/>
    <w:uiPriority w:val="99"/>
    <w:semiHidden/>
    <w:unhideWhenUsed/>
    <w:rsid w:val="00651820"/>
    <w:pPr>
      <w:spacing w:before="0" w:after="0"/>
    </w:pPr>
    <w:rPr>
      <w:sz w:val="20"/>
    </w:rPr>
  </w:style>
  <w:style w:type="character" w:customStyle="1" w:styleId="FootnoteTextChar">
    <w:name w:val="Footnote Text Char"/>
    <w:basedOn w:val="DefaultParagraphFont"/>
    <w:link w:val="FootnoteText"/>
    <w:uiPriority w:val="99"/>
    <w:semiHidden/>
    <w:locked/>
    <w:rsid w:val="00651820"/>
    <w:rPr>
      <w:rFonts w:asciiTheme="minorHAnsi" w:hAnsiTheme="minorHAnsi" w:cs="Times New Roman"/>
      <w:color w:val="000000"/>
      <w:sz w:val="20"/>
      <w:szCs w:val="20"/>
      <w:lang w:val="en-AU" w:eastAsia="en-AU"/>
    </w:rPr>
  </w:style>
  <w:style w:type="character" w:styleId="FootnoteReference">
    <w:name w:val="footnote reference"/>
    <w:basedOn w:val="DefaultParagraphFont"/>
    <w:uiPriority w:val="99"/>
    <w:semiHidden/>
    <w:unhideWhenUsed/>
    <w:rsid w:val="00651820"/>
    <w:rPr>
      <w:rFonts w:cs="Times New Roman"/>
      <w:vertAlign w:val="superscript"/>
    </w:rPr>
  </w:style>
  <w:style w:type="paragraph" w:customStyle="1" w:styleId="CoverTitleMain">
    <w:name w:val="Cover Title Main"/>
    <w:basedOn w:val="Normal"/>
    <w:next w:val="Normal"/>
    <w:rsid w:val="00534E35"/>
    <w:pPr>
      <w:keepNext/>
      <w:pBdr>
        <w:bottom w:val="single" w:sz="4" w:space="20" w:color="1F497D"/>
      </w:pBdr>
      <w:spacing w:before="0" w:after="480"/>
      <w:jc w:val="center"/>
    </w:pPr>
    <w:rPr>
      <w:rFonts w:ascii="Century Gothic" w:hAnsi="Century Gothic"/>
      <w:b/>
      <w:color w:val="1F497D"/>
      <w:sz w:val="52"/>
    </w:rPr>
  </w:style>
  <w:style w:type="paragraph" w:customStyle="1" w:styleId="CoverTitleSub">
    <w:name w:val="Cover Title Sub"/>
    <w:basedOn w:val="Normal"/>
    <w:rsid w:val="00534E35"/>
    <w:pPr>
      <w:keepNext/>
      <w:spacing w:before="480"/>
      <w:jc w:val="right"/>
    </w:pPr>
    <w:rPr>
      <w:rFonts w:ascii="Century Gothic" w:hAnsi="Century Gothic"/>
      <w:color w:val="1F497D"/>
      <w:sz w:val="36"/>
    </w:rPr>
  </w:style>
  <w:style w:type="paragraph" w:styleId="NoSpacing">
    <w:name w:val="No Spacing"/>
    <w:uiPriority w:val="1"/>
    <w:qFormat/>
    <w:rsid w:val="00BF062B"/>
    <w:pPr>
      <w:spacing w:after="0" w:line="240" w:lineRule="auto"/>
    </w:pPr>
    <w:rPr>
      <w:rFonts w:asciiTheme="minorHAnsi" w:hAnsiTheme="minorHAnsi" w:cs="Times New Roman"/>
      <w:color w:val="000000"/>
      <w:szCs w:val="20"/>
      <w:lang w:val="en-AU" w:eastAsia="en-AU"/>
    </w:rPr>
  </w:style>
  <w:style w:type="table" w:styleId="TableGrid">
    <w:name w:val="Table Grid"/>
    <w:basedOn w:val="TableNormal"/>
    <w:uiPriority w:val="39"/>
    <w:rsid w:val="00E91C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7A50"/>
    <w:pPr>
      <w:ind w:left="720"/>
      <w:contextualSpacing/>
    </w:pPr>
  </w:style>
  <w:style w:type="paragraph" w:styleId="Header">
    <w:name w:val="header"/>
    <w:basedOn w:val="Normal"/>
    <w:link w:val="HeaderChar"/>
    <w:uiPriority w:val="99"/>
    <w:unhideWhenUsed/>
    <w:rsid w:val="00B95BB5"/>
    <w:pPr>
      <w:tabs>
        <w:tab w:val="center" w:pos="4680"/>
        <w:tab w:val="right" w:pos="9360"/>
      </w:tabs>
      <w:spacing w:before="0" w:after="0"/>
    </w:pPr>
  </w:style>
  <w:style w:type="character" w:customStyle="1" w:styleId="HeaderChar">
    <w:name w:val="Header Char"/>
    <w:basedOn w:val="DefaultParagraphFont"/>
    <w:link w:val="Header"/>
    <w:uiPriority w:val="99"/>
    <w:locked/>
    <w:rsid w:val="00B95BB5"/>
    <w:rPr>
      <w:rFonts w:asciiTheme="minorHAnsi" w:hAnsiTheme="minorHAnsi" w:cs="Times New Roman"/>
      <w:color w:val="000000"/>
      <w:sz w:val="20"/>
      <w:szCs w:val="20"/>
      <w:lang w:val="en-AU" w:eastAsia="en-AU"/>
    </w:rPr>
  </w:style>
  <w:style w:type="paragraph" w:styleId="Footer">
    <w:name w:val="footer"/>
    <w:basedOn w:val="Normal"/>
    <w:link w:val="FooterChar"/>
    <w:uiPriority w:val="99"/>
    <w:unhideWhenUsed/>
    <w:rsid w:val="00B95BB5"/>
    <w:pPr>
      <w:tabs>
        <w:tab w:val="center" w:pos="4680"/>
        <w:tab w:val="right" w:pos="9360"/>
      </w:tabs>
      <w:spacing w:before="0" w:after="0"/>
    </w:pPr>
  </w:style>
  <w:style w:type="character" w:customStyle="1" w:styleId="FooterChar">
    <w:name w:val="Footer Char"/>
    <w:basedOn w:val="DefaultParagraphFont"/>
    <w:link w:val="Footer"/>
    <w:uiPriority w:val="99"/>
    <w:locked/>
    <w:rsid w:val="00B95BB5"/>
    <w:rPr>
      <w:rFonts w:asciiTheme="minorHAnsi" w:hAnsiTheme="minorHAnsi" w:cs="Times New Roman"/>
      <w:color w:val="000000"/>
      <w:sz w:val="20"/>
      <w:szCs w:val="20"/>
      <w:lang w:val="en-AU" w:eastAsia="en-AU"/>
    </w:rPr>
  </w:style>
  <w:style w:type="paragraph" w:styleId="BalloonText">
    <w:name w:val="Balloon Text"/>
    <w:basedOn w:val="Normal"/>
    <w:link w:val="BalloonTextChar"/>
    <w:uiPriority w:val="99"/>
    <w:semiHidden/>
    <w:unhideWhenUsed/>
    <w:rsid w:val="00167D7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67D73"/>
    <w:rPr>
      <w:rFonts w:eastAsia="Times New Roman" w:cs="Times New Roman"/>
      <w:color w:val="000000"/>
      <w:sz w:val="18"/>
      <w:szCs w:val="18"/>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Segoe U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F32"/>
    <w:pPr>
      <w:spacing w:before="120" w:after="240" w:line="240" w:lineRule="auto"/>
    </w:pPr>
    <w:rPr>
      <w:rFonts w:asciiTheme="minorHAnsi" w:hAnsiTheme="minorHAnsi" w:cs="Times New Roman"/>
      <w:color w:val="00000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77F32"/>
    <w:pPr>
      <w:spacing w:before="0" w:after="0"/>
    </w:pPr>
  </w:style>
  <w:style w:type="paragraph" w:customStyle="1" w:styleId="TableTextLeft-Bullet">
    <w:name w:val="Table Text Left - Bullet"/>
    <w:basedOn w:val="Normal"/>
    <w:rsid w:val="00B77F32"/>
    <w:pPr>
      <w:numPr>
        <w:numId w:val="2"/>
      </w:numPr>
      <w:spacing w:before="75" w:after="75"/>
    </w:pPr>
    <w:rPr>
      <w:sz w:val="20"/>
      <w:szCs w:val="18"/>
    </w:rPr>
  </w:style>
  <w:style w:type="paragraph" w:customStyle="1" w:styleId="TableColumnHeadingLeft-White">
    <w:name w:val="Table Column Heading Left - White"/>
    <w:basedOn w:val="Normal"/>
    <w:rsid w:val="00B77F32"/>
    <w:pPr>
      <w:spacing w:before="75" w:after="75"/>
    </w:pPr>
    <w:rPr>
      <w:b/>
      <w:color w:val="FFFFFF" w:themeColor="background1"/>
    </w:rPr>
  </w:style>
  <w:style w:type="paragraph" w:customStyle="1" w:styleId="TableTextLeft-Numbering">
    <w:name w:val="Table Text Left - Numbering"/>
    <w:basedOn w:val="Normal"/>
    <w:rsid w:val="00B77F32"/>
    <w:pPr>
      <w:numPr>
        <w:numId w:val="1"/>
      </w:numPr>
      <w:spacing w:before="75" w:after="75"/>
    </w:pPr>
    <w:rPr>
      <w:sz w:val="20"/>
    </w:rPr>
  </w:style>
  <w:style w:type="paragraph" w:customStyle="1" w:styleId="TableTextLeft-Bold">
    <w:name w:val="Table Text Left - Bold"/>
    <w:basedOn w:val="Normal"/>
    <w:rsid w:val="00B77F32"/>
    <w:pPr>
      <w:spacing w:before="80" w:after="80"/>
    </w:pPr>
    <w:rPr>
      <w:b/>
      <w:sz w:val="21"/>
    </w:rPr>
  </w:style>
  <w:style w:type="paragraph" w:customStyle="1" w:styleId="TableTextLeft-NumberingAppB">
    <w:name w:val="Table Text Left - Numbering (AppB)"/>
    <w:rsid w:val="00B77F32"/>
    <w:pPr>
      <w:numPr>
        <w:numId w:val="3"/>
      </w:numPr>
      <w:tabs>
        <w:tab w:val="left" w:pos="340"/>
      </w:tabs>
      <w:spacing w:before="80" w:after="80" w:line="269" w:lineRule="auto"/>
    </w:pPr>
    <w:rPr>
      <w:rFonts w:asciiTheme="minorHAnsi" w:hAnsiTheme="minorHAnsi" w:cs="Times New Roman"/>
      <w:color w:val="000000"/>
      <w:sz w:val="21"/>
      <w:szCs w:val="21"/>
      <w:lang w:val="en-AU" w:eastAsia="en-AU"/>
    </w:rPr>
  </w:style>
  <w:style w:type="paragraph" w:customStyle="1" w:styleId="TableTextLeft-Bullet-IndentAppB">
    <w:name w:val="Table Text Left - Bullet - Indent (AppB)"/>
    <w:basedOn w:val="Normal"/>
    <w:rsid w:val="00B77F32"/>
    <w:pPr>
      <w:numPr>
        <w:numId w:val="4"/>
      </w:numPr>
      <w:tabs>
        <w:tab w:val="left" w:pos="680"/>
      </w:tabs>
      <w:spacing w:before="80" w:after="80"/>
      <w:ind w:left="680" w:hanging="340"/>
    </w:pPr>
    <w:rPr>
      <w:sz w:val="21"/>
      <w:szCs w:val="18"/>
    </w:rPr>
  </w:style>
  <w:style w:type="character" w:styleId="Hyperlink">
    <w:name w:val="Hyperlink"/>
    <w:basedOn w:val="DefaultParagraphFont"/>
    <w:uiPriority w:val="99"/>
    <w:semiHidden/>
    <w:unhideWhenUsed/>
    <w:rsid w:val="00157FD2"/>
    <w:rPr>
      <w:rFonts w:cs="Times New Roman"/>
      <w:color w:val="0563C1" w:themeColor="hyperlink"/>
      <w:u w:val="single"/>
    </w:rPr>
  </w:style>
  <w:style w:type="paragraph" w:styleId="FootnoteText">
    <w:name w:val="footnote text"/>
    <w:basedOn w:val="Normal"/>
    <w:link w:val="FootnoteTextChar"/>
    <w:uiPriority w:val="99"/>
    <w:semiHidden/>
    <w:unhideWhenUsed/>
    <w:rsid w:val="00651820"/>
    <w:pPr>
      <w:spacing w:before="0" w:after="0"/>
    </w:pPr>
    <w:rPr>
      <w:sz w:val="20"/>
    </w:rPr>
  </w:style>
  <w:style w:type="character" w:customStyle="1" w:styleId="FootnoteTextChar">
    <w:name w:val="Footnote Text Char"/>
    <w:basedOn w:val="DefaultParagraphFont"/>
    <w:link w:val="FootnoteText"/>
    <w:uiPriority w:val="99"/>
    <w:semiHidden/>
    <w:locked/>
    <w:rsid w:val="00651820"/>
    <w:rPr>
      <w:rFonts w:asciiTheme="minorHAnsi" w:hAnsiTheme="minorHAnsi" w:cs="Times New Roman"/>
      <w:color w:val="000000"/>
      <w:sz w:val="20"/>
      <w:szCs w:val="20"/>
      <w:lang w:val="en-AU" w:eastAsia="en-AU"/>
    </w:rPr>
  </w:style>
  <w:style w:type="character" w:styleId="FootnoteReference">
    <w:name w:val="footnote reference"/>
    <w:basedOn w:val="DefaultParagraphFont"/>
    <w:uiPriority w:val="99"/>
    <w:semiHidden/>
    <w:unhideWhenUsed/>
    <w:rsid w:val="00651820"/>
    <w:rPr>
      <w:rFonts w:cs="Times New Roman"/>
      <w:vertAlign w:val="superscript"/>
    </w:rPr>
  </w:style>
  <w:style w:type="paragraph" w:customStyle="1" w:styleId="CoverTitleMain">
    <w:name w:val="Cover Title Main"/>
    <w:basedOn w:val="Normal"/>
    <w:next w:val="Normal"/>
    <w:rsid w:val="00534E35"/>
    <w:pPr>
      <w:keepNext/>
      <w:pBdr>
        <w:bottom w:val="single" w:sz="4" w:space="20" w:color="1F497D"/>
      </w:pBdr>
      <w:spacing w:before="0" w:after="480"/>
      <w:jc w:val="center"/>
    </w:pPr>
    <w:rPr>
      <w:rFonts w:ascii="Century Gothic" w:hAnsi="Century Gothic"/>
      <w:b/>
      <w:color w:val="1F497D"/>
      <w:sz w:val="52"/>
    </w:rPr>
  </w:style>
  <w:style w:type="paragraph" w:customStyle="1" w:styleId="CoverTitleSub">
    <w:name w:val="Cover Title Sub"/>
    <w:basedOn w:val="Normal"/>
    <w:rsid w:val="00534E35"/>
    <w:pPr>
      <w:keepNext/>
      <w:spacing w:before="480"/>
      <w:jc w:val="right"/>
    </w:pPr>
    <w:rPr>
      <w:rFonts w:ascii="Century Gothic" w:hAnsi="Century Gothic"/>
      <w:color w:val="1F497D"/>
      <w:sz w:val="36"/>
    </w:rPr>
  </w:style>
  <w:style w:type="paragraph" w:styleId="NoSpacing">
    <w:name w:val="No Spacing"/>
    <w:uiPriority w:val="1"/>
    <w:qFormat/>
    <w:rsid w:val="00BF062B"/>
    <w:pPr>
      <w:spacing w:after="0" w:line="240" w:lineRule="auto"/>
    </w:pPr>
    <w:rPr>
      <w:rFonts w:asciiTheme="minorHAnsi" w:hAnsiTheme="minorHAnsi" w:cs="Times New Roman"/>
      <w:color w:val="000000"/>
      <w:szCs w:val="20"/>
      <w:lang w:val="en-AU" w:eastAsia="en-AU"/>
    </w:rPr>
  </w:style>
  <w:style w:type="table" w:styleId="TableGrid">
    <w:name w:val="Table Grid"/>
    <w:basedOn w:val="TableNormal"/>
    <w:uiPriority w:val="39"/>
    <w:rsid w:val="00E91C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7A50"/>
    <w:pPr>
      <w:ind w:left="720"/>
      <w:contextualSpacing/>
    </w:pPr>
  </w:style>
  <w:style w:type="paragraph" w:styleId="Header">
    <w:name w:val="header"/>
    <w:basedOn w:val="Normal"/>
    <w:link w:val="HeaderChar"/>
    <w:uiPriority w:val="99"/>
    <w:unhideWhenUsed/>
    <w:rsid w:val="00B95BB5"/>
    <w:pPr>
      <w:tabs>
        <w:tab w:val="center" w:pos="4680"/>
        <w:tab w:val="right" w:pos="9360"/>
      </w:tabs>
      <w:spacing w:before="0" w:after="0"/>
    </w:pPr>
  </w:style>
  <w:style w:type="character" w:customStyle="1" w:styleId="HeaderChar">
    <w:name w:val="Header Char"/>
    <w:basedOn w:val="DefaultParagraphFont"/>
    <w:link w:val="Header"/>
    <w:uiPriority w:val="99"/>
    <w:locked/>
    <w:rsid w:val="00B95BB5"/>
    <w:rPr>
      <w:rFonts w:asciiTheme="minorHAnsi" w:hAnsiTheme="minorHAnsi" w:cs="Times New Roman"/>
      <w:color w:val="000000"/>
      <w:sz w:val="20"/>
      <w:szCs w:val="20"/>
      <w:lang w:val="en-AU" w:eastAsia="en-AU"/>
    </w:rPr>
  </w:style>
  <w:style w:type="paragraph" w:styleId="Footer">
    <w:name w:val="footer"/>
    <w:basedOn w:val="Normal"/>
    <w:link w:val="FooterChar"/>
    <w:uiPriority w:val="99"/>
    <w:unhideWhenUsed/>
    <w:rsid w:val="00B95BB5"/>
    <w:pPr>
      <w:tabs>
        <w:tab w:val="center" w:pos="4680"/>
        <w:tab w:val="right" w:pos="9360"/>
      </w:tabs>
      <w:spacing w:before="0" w:after="0"/>
    </w:pPr>
  </w:style>
  <w:style w:type="character" w:customStyle="1" w:styleId="FooterChar">
    <w:name w:val="Footer Char"/>
    <w:basedOn w:val="DefaultParagraphFont"/>
    <w:link w:val="Footer"/>
    <w:uiPriority w:val="99"/>
    <w:locked/>
    <w:rsid w:val="00B95BB5"/>
    <w:rPr>
      <w:rFonts w:asciiTheme="minorHAnsi" w:hAnsiTheme="minorHAnsi" w:cs="Times New Roman"/>
      <w:color w:val="000000"/>
      <w:sz w:val="20"/>
      <w:szCs w:val="20"/>
      <w:lang w:val="en-AU" w:eastAsia="en-AU"/>
    </w:rPr>
  </w:style>
  <w:style w:type="paragraph" w:styleId="BalloonText">
    <w:name w:val="Balloon Text"/>
    <w:basedOn w:val="Normal"/>
    <w:link w:val="BalloonTextChar"/>
    <w:uiPriority w:val="99"/>
    <w:semiHidden/>
    <w:unhideWhenUsed/>
    <w:rsid w:val="00167D7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67D73"/>
    <w:rPr>
      <w:rFonts w:eastAsia="Times New Roman" w:cs="Times New Roman"/>
      <w:color w:val="000000"/>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908972">
      <w:marLeft w:val="0"/>
      <w:marRight w:val="0"/>
      <w:marTop w:val="0"/>
      <w:marBottom w:val="0"/>
      <w:divBdr>
        <w:top w:val="none" w:sz="0" w:space="0" w:color="auto"/>
        <w:left w:val="none" w:sz="0" w:space="0" w:color="auto"/>
        <w:bottom w:val="none" w:sz="0" w:space="0" w:color="auto"/>
        <w:right w:val="none" w:sz="0" w:space="0" w:color="auto"/>
      </w:divBdr>
    </w:div>
    <w:div w:id="1257908973">
      <w:marLeft w:val="0"/>
      <w:marRight w:val="0"/>
      <w:marTop w:val="0"/>
      <w:marBottom w:val="0"/>
      <w:divBdr>
        <w:top w:val="none" w:sz="0" w:space="0" w:color="auto"/>
        <w:left w:val="none" w:sz="0" w:space="0" w:color="auto"/>
        <w:bottom w:val="none" w:sz="0" w:space="0" w:color="auto"/>
        <w:right w:val="none" w:sz="0" w:space="0" w:color="auto"/>
      </w:divBdr>
    </w:div>
    <w:div w:id="1257908974">
      <w:marLeft w:val="0"/>
      <w:marRight w:val="0"/>
      <w:marTop w:val="0"/>
      <w:marBottom w:val="0"/>
      <w:divBdr>
        <w:top w:val="none" w:sz="0" w:space="0" w:color="auto"/>
        <w:left w:val="none" w:sz="0" w:space="0" w:color="auto"/>
        <w:bottom w:val="none" w:sz="0" w:space="0" w:color="auto"/>
        <w:right w:val="none" w:sz="0" w:space="0" w:color="auto"/>
      </w:divBdr>
    </w:div>
    <w:div w:id="1257908975">
      <w:marLeft w:val="0"/>
      <w:marRight w:val="0"/>
      <w:marTop w:val="0"/>
      <w:marBottom w:val="0"/>
      <w:divBdr>
        <w:top w:val="none" w:sz="0" w:space="0" w:color="auto"/>
        <w:left w:val="none" w:sz="0" w:space="0" w:color="auto"/>
        <w:bottom w:val="none" w:sz="0" w:space="0" w:color="auto"/>
        <w:right w:val="none" w:sz="0" w:space="0" w:color="auto"/>
      </w:divBdr>
    </w:div>
    <w:div w:id="1257908976">
      <w:marLeft w:val="0"/>
      <w:marRight w:val="0"/>
      <w:marTop w:val="0"/>
      <w:marBottom w:val="0"/>
      <w:divBdr>
        <w:top w:val="none" w:sz="0" w:space="0" w:color="auto"/>
        <w:left w:val="none" w:sz="0" w:space="0" w:color="auto"/>
        <w:bottom w:val="none" w:sz="0" w:space="0" w:color="auto"/>
        <w:right w:val="none" w:sz="0" w:space="0" w:color="auto"/>
      </w:divBdr>
    </w:div>
    <w:div w:id="1257908977">
      <w:marLeft w:val="0"/>
      <w:marRight w:val="0"/>
      <w:marTop w:val="0"/>
      <w:marBottom w:val="0"/>
      <w:divBdr>
        <w:top w:val="none" w:sz="0" w:space="0" w:color="auto"/>
        <w:left w:val="none" w:sz="0" w:space="0" w:color="auto"/>
        <w:bottom w:val="none" w:sz="0" w:space="0" w:color="auto"/>
        <w:right w:val="none" w:sz="0" w:space="0" w:color="auto"/>
      </w:divBdr>
    </w:div>
    <w:div w:id="1257908978">
      <w:marLeft w:val="0"/>
      <w:marRight w:val="0"/>
      <w:marTop w:val="0"/>
      <w:marBottom w:val="0"/>
      <w:divBdr>
        <w:top w:val="none" w:sz="0" w:space="0" w:color="auto"/>
        <w:left w:val="none" w:sz="0" w:space="0" w:color="auto"/>
        <w:bottom w:val="none" w:sz="0" w:space="0" w:color="auto"/>
        <w:right w:val="none" w:sz="0" w:space="0" w:color="auto"/>
      </w:divBdr>
    </w:div>
    <w:div w:id="1257908979">
      <w:marLeft w:val="0"/>
      <w:marRight w:val="0"/>
      <w:marTop w:val="0"/>
      <w:marBottom w:val="0"/>
      <w:divBdr>
        <w:top w:val="none" w:sz="0" w:space="0" w:color="auto"/>
        <w:left w:val="none" w:sz="0" w:space="0" w:color="auto"/>
        <w:bottom w:val="none" w:sz="0" w:space="0" w:color="auto"/>
        <w:right w:val="none" w:sz="0" w:space="0" w:color="auto"/>
      </w:divBdr>
    </w:div>
    <w:div w:id="1257908980">
      <w:marLeft w:val="0"/>
      <w:marRight w:val="0"/>
      <w:marTop w:val="0"/>
      <w:marBottom w:val="0"/>
      <w:divBdr>
        <w:top w:val="none" w:sz="0" w:space="0" w:color="auto"/>
        <w:left w:val="none" w:sz="0" w:space="0" w:color="auto"/>
        <w:bottom w:val="none" w:sz="0" w:space="0" w:color="auto"/>
        <w:right w:val="none" w:sz="0" w:space="0" w:color="auto"/>
      </w:divBdr>
    </w:div>
    <w:div w:id="1257908981">
      <w:marLeft w:val="0"/>
      <w:marRight w:val="0"/>
      <w:marTop w:val="0"/>
      <w:marBottom w:val="0"/>
      <w:divBdr>
        <w:top w:val="none" w:sz="0" w:space="0" w:color="auto"/>
        <w:left w:val="none" w:sz="0" w:space="0" w:color="auto"/>
        <w:bottom w:val="none" w:sz="0" w:space="0" w:color="auto"/>
        <w:right w:val="none" w:sz="0" w:space="0" w:color="auto"/>
      </w:divBdr>
    </w:div>
    <w:div w:id="1257908982">
      <w:marLeft w:val="0"/>
      <w:marRight w:val="0"/>
      <w:marTop w:val="0"/>
      <w:marBottom w:val="0"/>
      <w:divBdr>
        <w:top w:val="none" w:sz="0" w:space="0" w:color="auto"/>
        <w:left w:val="none" w:sz="0" w:space="0" w:color="auto"/>
        <w:bottom w:val="none" w:sz="0" w:space="0" w:color="auto"/>
        <w:right w:val="none" w:sz="0" w:space="0" w:color="auto"/>
      </w:divBdr>
    </w:div>
    <w:div w:id="1257908983">
      <w:marLeft w:val="0"/>
      <w:marRight w:val="0"/>
      <w:marTop w:val="0"/>
      <w:marBottom w:val="0"/>
      <w:divBdr>
        <w:top w:val="none" w:sz="0" w:space="0" w:color="auto"/>
        <w:left w:val="none" w:sz="0" w:space="0" w:color="auto"/>
        <w:bottom w:val="none" w:sz="0" w:space="0" w:color="auto"/>
        <w:right w:val="none" w:sz="0" w:space="0" w:color="auto"/>
      </w:divBdr>
    </w:div>
    <w:div w:id="1257908984">
      <w:marLeft w:val="0"/>
      <w:marRight w:val="0"/>
      <w:marTop w:val="0"/>
      <w:marBottom w:val="0"/>
      <w:divBdr>
        <w:top w:val="none" w:sz="0" w:space="0" w:color="auto"/>
        <w:left w:val="none" w:sz="0" w:space="0" w:color="auto"/>
        <w:bottom w:val="none" w:sz="0" w:space="0" w:color="auto"/>
        <w:right w:val="none" w:sz="0" w:space="0" w:color="auto"/>
      </w:divBdr>
    </w:div>
    <w:div w:id="1257908985">
      <w:marLeft w:val="0"/>
      <w:marRight w:val="0"/>
      <w:marTop w:val="0"/>
      <w:marBottom w:val="0"/>
      <w:divBdr>
        <w:top w:val="none" w:sz="0" w:space="0" w:color="auto"/>
        <w:left w:val="none" w:sz="0" w:space="0" w:color="auto"/>
        <w:bottom w:val="none" w:sz="0" w:space="0" w:color="auto"/>
        <w:right w:val="none" w:sz="0" w:space="0" w:color="auto"/>
      </w:divBdr>
    </w:div>
    <w:div w:id="1257908986">
      <w:marLeft w:val="0"/>
      <w:marRight w:val="0"/>
      <w:marTop w:val="0"/>
      <w:marBottom w:val="0"/>
      <w:divBdr>
        <w:top w:val="none" w:sz="0" w:space="0" w:color="auto"/>
        <w:left w:val="none" w:sz="0" w:space="0" w:color="auto"/>
        <w:bottom w:val="none" w:sz="0" w:space="0" w:color="auto"/>
        <w:right w:val="none" w:sz="0" w:space="0" w:color="auto"/>
      </w:divBdr>
    </w:div>
    <w:div w:id="1257908987">
      <w:marLeft w:val="0"/>
      <w:marRight w:val="0"/>
      <w:marTop w:val="0"/>
      <w:marBottom w:val="0"/>
      <w:divBdr>
        <w:top w:val="none" w:sz="0" w:space="0" w:color="auto"/>
        <w:left w:val="none" w:sz="0" w:space="0" w:color="auto"/>
        <w:bottom w:val="none" w:sz="0" w:space="0" w:color="auto"/>
        <w:right w:val="none" w:sz="0" w:space="0" w:color="auto"/>
      </w:divBdr>
    </w:div>
    <w:div w:id="1257908988">
      <w:marLeft w:val="0"/>
      <w:marRight w:val="0"/>
      <w:marTop w:val="0"/>
      <w:marBottom w:val="0"/>
      <w:divBdr>
        <w:top w:val="none" w:sz="0" w:space="0" w:color="auto"/>
        <w:left w:val="none" w:sz="0" w:space="0" w:color="auto"/>
        <w:bottom w:val="none" w:sz="0" w:space="0" w:color="auto"/>
        <w:right w:val="none" w:sz="0" w:space="0" w:color="auto"/>
      </w:divBdr>
    </w:div>
    <w:div w:id="1257908989">
      <w:marLeft w:val="0"/>
      <w:marRight w:val="0"/>
      <w:marTop w:val="0"/>
      <w:marBottom w:val="0"/>
      <w:divBdr>
        <w:top w:val="none" w:sz="0" w:space="0" w:color="auto"/>
        <w:left w:val="none" w:sz="0" w:space="0" w:color="auto"/>
        <w:bottom w:val="none" w:sz="0" w:space="0" w:color="auto"/>
        <w:right w:val="none" w:sz="0" w:space="0" w:color="auto"/>
      </w:divBdr>
    </w:div>
    <w:div w:id="1257908990">
      <w:marLeft w:val="0"/>
      <w:marRight w:val="0"/>
      <w:marTop w:val="0"/>
      <w:marBottom w:val="0"/>
      <w:divBdr>
        <w:top w:val="none" w:sz="0" w:space="0" w:color="auto"/>
        <w:left w:val="none" w:sz="0" w:space="0" w:color="auto"/>
        <w:bottom w:val="none" w:sz="0" w:space="0" w:color="auto"/>
        <w:right w:val="none" w:sz="0" w:space="0" w:color="auto"/>
      </w:divBdr>
    </w:div>
    <w:div w:id="1257908991">
      <w:marLeft w:val="0"/>
      <w:marRight w:val="0"/>
      <w:marTop w:val="0"/>
      <w:marBottom w:val="0"/>
      <w:divBdr>
        <w:top w:val="none" w:sz="0" w:space="0" w:color="auto"/>
        <w:left w:val="none" w:sz="0" w:space="0" w:color="auto"/>
        <w:bottom w:val="none" w:sz="0" w:space="0" w:color="auto"/>
        <w:right w:val="none" w:sz="0" w:space="0" w:color="auto"/>
      </w:divBdr>
    </w:div>
    <w:div w:id="1257908992">
      <w:marLeft w:val="0"/>
      <w:marRight w:val="0"/>
      <w:marTop w:val="0"/>
      <w:marBottom w:val="0"/>
      <w:divBdr>
        <w:top w:val="none" w:sz="0" w:space="0" w:color="auto"/>
        <w:left w:val="none" w:sz="0" w:space="0" w:color="auto"/>
        <w:bottom w:val="none" w:sz="0" w:space="0" w:color="auto"/>
        <w:right w:val="none" w:sz="0" w:space="0" w:color="auto"/>
      </w:divBdr>
    </w:div>
    <w:div w:id="1257908993">
      <w:marLeft w:val="0"/>
      <w:marRight w:val="0"/>
      <w:marTop w:val="0"/>
      <w:marBottom w:val="0"/>
      <w:divBdr>
        <w:top w:val="none" w:sz="0" w:space="0" w:color="auto"/>
        <w:left w:val="none" w:sz="0" w:space="0" w:color="auto"/>
        <w:bottom w:val="none" w:sz="0" w:space="0" w:color="auto"/>
        <w:right w:val="none" w:sz="0" w:space="0" w:color="auto"/>
      </w:divBdr>
    </w:div>
    <w:div w:id="1257908994">
      <w:marLeft w:val="0"/>
      <w:marRight w:val="0"/>
      <w:marTop w:val="0"/>
      <w:marBottom w:val="0"/>
      <w:divBdr>
        <w:top w:val="none" w:sz="0" w:space="0" w:color="auto"/>
        <w:left w:val="none" w:sz="0" w:space="0" w:color="auto"/>
        <w:bottom w:val="none" w:sz="0" w:space="0" w:color="auto"/>
        <w:right w:val="none" w:sz="0" w:space="0" w:color="auto"/>
      </w:divBdr>
    </w:div>
    <w:div w:id="1257908995">
      <w:marLeft w:val="0"/>
      <w:marRight w:val="0"/>
      <w:marTop w:val="0"/>
      <w:marBottom w:val="0"/>
      <w:divBdr>
        <w:top w:val="none" w:sz="0" w:space="0" w:color="auto"/>
        <w:left w:val="none" w:sz="0" w:space="0" w:color="auto"/>
        <w:bottom w:val="none" w:sz="0" w:space="0" w:color="auto"/>
        <w:right w:val="none" w:sz="0" w:space="0" w:color="auto"/>
      </w:divBdr>
    </w:div>
    <w:div w:id="1257908996">
      <w:marLeft w:val="0"/>
      <w:marRight w:val="0"/>
      <w:marTop w:val="0"/>
      <w:marBottom w:val="0"/>
      <w:divBdr>
        <w:top w:val="none" w:sz="0" w:space="0" w:color="auto"/>
        <w:left w:val="none" w:sz="0" w:space="0" w:color="auto"/>
        <w:bottom w:val="none" w:sz="0" w:space="0" w:color="auto"/>
        <w:right w:val="none" w:sz="0" w:space="0" w:color="auto"/>
      </w:divBdr>
    </w:div>
    <w:div w:id="1257908997">
      <w:marLeft w:val="0"/>
      <w:marRight w:val="0"/>
      <w:marTop w:val="0"/>
      <w:marBottom w:val="0"/>
      <w:divBdr>
        <w:top w:val="none" w:sz="0" w:space="0" w:color="auto"/>
        <w:left w:val="none" w:sz="0" w:space="0" w:color="auto"/>
        <w:bottom w:val="none" w:sz="0" w:space="0" w:color="auto"/>
        <w:right w:val="none" w:sz="0" w:space="0" w:color="auto"/>
      </w:divBdr>
    </w:div>
    <w:div w:id="1257908998">
      <w:marLeft w:val="0"/>
      <w:marRight w:val="0"/>
      <w:marTop w:val="0"/>
      <w:marBottom w:val="0"/>
      <w:divBdr>
        <w:top w:val="none" w:sz="0" w:space="0" w:color="auto"/>
        <w:left w:val="none" w:sz="0" w:space="0" w:color="auto"/>
        <w:bottom w:val="none" w:sz="0" w:space="0" w:color="auto"/>
        <w:right w:val="none" w:sz="0" w:space="0" w:color="auto"/>
      </w:divBdr>
    </w:div>
    <w:div w:id="1257908999">
      <w:marLeft w:val="0"/>
      <w:marRight w:val="0"/>
      <w:marTop w:val="0"/>
      <w:marBottom w:val="0"/>
      <w:divBdr>
        <w:top w:val="none" w:sz="0" w:space="0" w:color="auto"/>
        <w:left w:val="none" w:sz="0" w:space="0" w:color="auto"/>
        <w:bottom w:val="none" w:sz="0" w:space="0" w:color="auto"/>
        <w:right w:val="none" w:sz="0" w:space="0" w:color="auto"/>
      </w:divBdr>
    </w:div>
    <w:div w:id="1257909000">
      <w:marLeft w:val="0"/>
      <w:marRight w:val="0"/>
      <w:marTop w:val="0"/>
      <w:marBottom w:val="0"/>
      <w:divBdr>
        <w:top w:val="none" w:sz="0" w:space="0" w:color="auto"/>
        <w:left w:val="none" w:sz="0" w:space="0" w:color="auto"/>
        <w:bottom w:val="none" w:sz="0" w:space="0" w:color="auto"/>
        <w:right w:val="none" w:sz="0" w:space="0" w:color="auto"/>
      </w:divBdr>
    </w:div>
    <w:div w:id="1257909001">
      <w:marLeft w:val="0"/>
      <w:marRight w:val="0"/>
      <w:marTop w:val="0"/>
      <w:marBottom w:val="0"/>
      <w:divBdr>
        <w:top w:val="none" w:sz="0" w:space="0" w:color="auto"/>
        <w:left w:val="none" w:sz="0" w:space="0" w:color="auto"/>
        <w:bottom w:val="none" w:sz="0" w:space="0" w:color="auto"/>
        <w:right w:val="none" w:sz="0" w:space="0" w:color="auto"/>
      </w:divBdr>
    </w:div>
    <w:div w:id="1257909002">
      <w:marLeft w:val="0"/>
      <w:marRight w:val="0"/>
      <w:marTop w:val="0"/>
      <w:marBottom w:val="0"/>
      <w:divBdr>
        <w:top w:val="none" w:sz="0" w:space="0" w:color="auto"/>
        <w:left w:val="none" w:sz="0" w:space="0" w:color="auto"/>
        <w:bottom w:val="none" w:sz="0" w:space="0" w:color="auto"/>
        <w:right w:val="none" w:sz="0" w:space="0" w:color="auto"/>
      </w:divBdr>
    </w:div>
    <w:div w:id="1257909003">
      <w:marLeft w:val="0"/>
      <w:marRight w:val="0"/>
      <w:marTop w:val="0"/>
      <w:marBottom w:val="0"/>
      <w:divBdr>
        <w:top w:val="none" w:sz="0" w:space="0" w:color="auto"/>
        <w:left w:val="none" w:sz="0" w:space="0" w:color="auto"/>
        <w:bottom w:val="none" w:sz="0" w:space="0" w:color="auto"/>
        <w:right w:val="none" w:sz="0" w:space="0" w:color="auto"/>
      </w:divBdr>
    </w:div>
    <w:div w:id="1257909004">
      <w:marLeft w:val="0"/>
      <w:marRight w:val="0"/>
      <w:marTop w:val="0"/>
      <w:marBottom w:val="0"/>
      <w:divBdr>
        <w:top w:val="none" w:sz="0" w:space="0" w:color="auto"/>
        <w:left w:val="none" w:sz="0" w:space="0" w:color="auto"/>
        <w:bottom w:val="none" w:sz="0" w:space="0" w:color="auto"/>
        <w:right w:val="none" w:sz="0" w:space="0" w:color="auto"/>
      </w:divBdr>
    </w:div>
    <w:div w:id="1257909005">
      <w:marLeft w:val="0"/>
      <w:marRight w:val="0"/>
      <w:marTop w:val="0"/>
      <w:marBottom w:val="0"/>
      <w:divBdr>
        <w:top w:val="none" w:sz="0" w:space="0" w:color="auto"/>
        <w:left w:val="none" w:sz="0" w:space="0" w:color="auto"/>
        <w:bottom w:val="none" w:sz="0" w:space="0" w:color="auto"/>
        <w:right w:val="none" w:sz="0" w:space="0" w:color="auto"/>
      </w:divBdr>
    </w:div>
    <w:div w:id="1257909006">
      <w:marLeft w:val="0"/>
      <w:marRight w:val="0"/>
      <w:marTop w:val="0"/>
      <w:marBottom w:val="0"/>
      <w:divBdr>
        <w:top w:val="none" w:sz="0" w:space="0" w:color="auto"/>
        <w:left w:val="none" w:sz="0" w:space="0" w:color="auto"/>
        <w:bottom w:val="none" w:sz="0" w:space="0" w:color="auto"/>
        <w:right w:val="none" w:sz="0" w:space="0" w:color="auto"/>
      </w:divBdr>
    </w:div>
    <w:div w:id="1257909007">
      <w:marLeft w:val="0"/>
      <w:marRight w:val="0"/>
      <w:marTop w:val="0"/>
      <w:marBottom w:val="0"/>
      <w:divBdr>
        <w:top w:val="none" w:sz="0" w:space="0" w:color="auto"/>
        <w:left w:val="none" w:sz="0" w:space="0" w:color="auto"/>
        <w:bottom w:val="none" w:sz="0" w:space="0" w:color="auto"/>
        <w:right w:val="none" w:sz="0" w:space="0" w:color="auto"/>
      </w:divBdr>
    </w:div>
    <w:div w:id="1257909008">
      <w:marLeft w:val="0"/>
      <w:marRight w:val="0"/>
      <w:marTop w:val="0"/>
      <w:marBottom w:val="0"/>
      <w:divBdr>
        <w:top w:val="none" w:sz="0" w:space="0" w:color="auto"/>
        <w:left w:val="none" w:sz="0" w:space="0" w:color="auto"/>
        <w:bottom w:val="none" w:sz="0" w:space="0" w:color="auto"/>
        <w:right w:val="none" w:sz="0" w:space="0" w:color="auto"/>
      </w:divBdr>
    </w:div>
    <w:div w:id="1257909009">
      <w:marLeft w:val="0"/>
      <w:marRight w:val="0"/>
      <w:marTop w:val="0"/>
      <w:marBottom w:val="0"/>
      <w:divBdr>
        <w:top w:val="none" w:sz="0" w:space="0" w:color="auto"/>
        <w:left w:val="none" w:sz="0" w:space="0" w:color="auto"/>
        <w:bottom w:val="none" w:sz="0" w:space="0" w:color="auto"/>
        <w:right w:val="none" w:sz="0" w:space="0" w:color="auto"/>
      </w:divBdr>
    </w:div>
    <w:div w:id="1257909010">
      <w:marLeft w:val="0"/>
      <w:marRight w:val="0"/>
      <w:marTop w:val="0"/>
      <w:marBottom w:val="0"/>
      <w:divBdr>
        <w:top w:val="none" w:sz="0" w:space="0" w:color="auto"/>
        <w:left w:val="none" w:sz="0" w:space="0" w:color="auto"/>
        <w:bottom w:val="none" w:sz="0" w:space="0" w:color="auto"/>
        <w:right w:val="none" w:sz="0" w:space="0" w:color="auto"/>
      </w:divBdr>
    </w:div>
    <w:div w:id="1257909011">
      <w:marLeft w:val="0"/>
      <w:marRight w:val="0"/>
      <w:marTop w:val="0"/>
      <w:marBottom w:val="0"/>
      <w:divBdr>
        <w:top w:val="none" w:sz="0" w:space="0" w:color="auto"/>
        <w:left w:val="none" w:sz="0" w:space="0" w:color="auto"/>
        <w:bottom w:val="none" w:sz="0" w:space="0" w:color="auto"/>
        <w:right w:val="none" w:sz="0" w:space="0" w:color="auto"/>
      </w:divBdr>
    </w:div>
    <w:div w:id="1257909012">
      <w:marLeft w:val="0"/>
      <w:marRight w:val="0"/>
      <w:marTop w:val="0"/>
      <w:marBottom w:val="0"/>
      <w:divBdr>
        <w:top w:val="none" w:sz="0" w:space="0" w:color="auto"/>
        <w:left w:val="none" w:sz="0" w:space="0" w:color="auto"/>
        <w:bottom w:val="none" w:sz="0" w:space="0" w:color="auto"/>
        <w:right w:val="none" w:sz="0" w:space="0" w:color="auto"/>
      </w:divBdr>
    </w:div>
    <w:div w:id="1257909013">
      <w:marLeft w:val="0"/>
      <w:marRight w:val="0"/>
      <w:marTop w:val="0"/>
      <w:marBottom w:val="0"/>
      <w:divBdr>
        <w:top w:val="none" w:sz="0" w:space="0" w:color="auto"/>
        <w:left w:val="none" w:sz="0" w:space="0" w:color="auto"/>
        <w:bottom w:val="none" w:sz="0" w:space="0" w:color="auto"/>
        <w:right w:val="none" w:sz="0" w:space="0" w:color="auto"/>
      </w:divBdr>
    </w:div>
    <w:div w:id="1257909014">
      <w:marLeft w:val="0"/>
      <w:marRight w:val="0"/>
      <w:marTop w:val="0"/>
      <w:marBottom w:val="0"/>
      <w:divBdr>
        <w:top w:val="none" w:sz="0" w:space="0" w:color="auto"/>
        <w:left w:val="none" w:sz="0" w:space="0" w:color="auto"/>
        <w:bottom w:val="none" w:sz="0" w:space="0" w:color="auto"/>
        <w:right w:val="none" w:sz="0" w:space="0" w:color="auto"/>
      </w:divBdr>
    </w:div>
    <w:div w:id="12579090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A2A64-B8C3-41FE-8024-F69DB3D7E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7266</Words>
  <Characters>41419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Direct Selling Association of Australia Inc - Submission to ACL Review Interim Report</vt:lpstr>
    </vt:vector>
  </TitlesOfParts>
  <Company>Australian Government - The Treasury</Company>
  <LinksUpToDate>false</LinksUpToDate>
  <CharactersWithSpaces>48588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Selling Association of Australia Inc - Submission to ACL Review Interim Report</dc:title>
  <dc:creator>Submitted by Direct Selling Association of Australia Inc</dc:creator>
  <cp:lastModifiedBy>Moore, Ben</cp:lastModifiedBy>
  <cp:revision>2</cp:revision>
  <cp:lastPrinted>2016-12-09T03:02:00Z</cp:lastPrinted>
  <dcterms:created xsi:type="dcterms:W3CDTF">2017-02-28T02:12:00Z</dcterms:created>
  <dcterms:modified xsi:type="dcterms:W3CDTF">2017-02-28T02:12:00Z</dcterms:modified>
</cp:coreProperties>
</file>